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DB52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关于开展202</w:t>
      </w:r>
      <w:r>
        <w:rPr>
          <w:rFonts w:hint="eastAsia" w:ascii="方正小标宋简体" w:hAnsi="方正小标宋简体" w:eastAsia="方正小标宋简体" w:cs="方正小标宋简体"/>
          <w:color w:val="auto"/>
          <w:sz w:val="44"/>
          <w:szCs w:val="44"/>
          <w:lang w:val="en-US" w:eastAsia="zh-CN"/>
        </w:rPr>
        <w:t>6</w:t>
      </w:r>
      <w:r>
        <w:rPr>
          <w:rFonts w:hint="eastAsia" w:ascii="方正小标宋简体" w:hAnsi="方正小标宋简体" w:eastAsia="方正小标宋简体" w:cs="方正小标宋简体"/>
          <w:color w:val="auto"/>
          <w:sz w:val="44"/>
          <w:szCs w:val="44"/>
        </w:rPr>
        <w:t>年度湖州学院</w:t>
      </w:r>
      <w:r>
        <w:rPr>
          <w:rFonts w:hint="eastAsia" w:ascii="方正小标宋简体" w:hAnsi="方正小标宋简体" w:eastAsia="方正小标宋简体" w:cs="方正小标宋简体"/>
          <w:color w:val="auto"/>
          <w:sz w:val="44"/>
          <w:szCs w:val="44"/>
          <w:lang w:val="en-US" w:eastAsia="zh-CN"/>
        </w:rPr>
        <w:t>智慧课程建设项目立项</w:t>
      </w:r>
      <w:r>
        <w:rPr>
          <w:rFonts w:hint="eastAsia" w:ascii="方正小标宋简体" w:hAnsi="方正小标宋简体" w:eastAsia="方正小标宋简体" w:cs="方正小标宋简体"/>
          <w:color w:val="auto"/>
          <w:sz w:val="44"/>
          <w:szCs w:val="44"/>
        </w:rPr>
        <w:t>工作的通知</w:t>
      </w:r>
    </w:p>
    <w:p w14:paraId="2F37D88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44"/>
        </w:rPr>
      </w:pPr>
    </w:p>
    <w:p w14:paraId="5B71D72E">
      <w:pPr>
        <w:keepNext w:val="0"/>
        <w:keepLines w:val="0"/>
        <w:pageBreakBefore w:val="0"/>
        <w:widowControl/>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各二级学院</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相关职能部门</w:t>
      </w:r>
      <w:r>
        <w:rPr>
          <w:rFonts w:hint="eastAsia" w:ascii="仿宋_GB2312" w:hAnsi="仿宋_GB2312" w:eastAsia="仿宋_GB2312" w:cs="仿宋_GB2312"/>
          <w:color w:val="auto"/>
          <w:kern w:val="0"/>
          <w:sz w:val="32"/>
          <w:szCs w:val="32"/>
        </w:rPr>
        <w:t>：</w:t>
      </w:r>
    </w:p>
    <w:p w14:paraId="0BB4989B">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深入贯彻国家教育数字化战略部署，加快构建面向未来的高水平本科课程体系，推动人工智能技术与教育教学深度融合，并进一步落实“绿水青山就是金山银山”理念（以下简称“两山”理念）在人才培养中的引领作用，经研究决定，启动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年度校级</w:t>
      </w:r>
      <w:r>
        <w:rPr>
          <w:rFonts w:hint="eastAsia" w:ascii="仿宋_GB2312" w:hAnsi="仿宋_GB2312" w:eastAsia="仿宋_GB2312" w:cs="仿宋_GB2312"/>
          <w:color w:val="auto"/>
          <w:sz w:val="32"/>
          <w:szCs w:val="32"/>
          <w:lang w:val="en-US" w:eastAsia="zh-CN"/>
        </w:rPr>
        <w:t>智慧</w:t>
      </w:r>
      <w:r>
        <w:rPr>
          <w:rFonts w:hint="eastAsia" w:ascii="仿宋_GB2312" w:hAnsi="仿宋_GB2312" w:eastAsia="仿宋_GB2312" w:cs="仿宋_GB2312"/>
          <w:color w:val="auto"/>
          <w:sz w:val="32"/>
          <w:szCs w:val="32"/>
        </w:rPr>
        <w:t>课程建设项目立项工作。现就有关</w:t>
      </w:r>
      <w:r>
        <w:rPr>
          <w:rFonts w:hint="eastAsia" w:ascii="仿宋_GB2312" w:hAnsi="仿宋_GB2312" w:eastAsia="仿宋_GB2312" w:cs="仿宋_GB2312"/>
          <w:color w:val="auto"/>
          <w:sz w:val="32"/>
          <w:szCs w:val="32"/>
          <w:lang w:val="en-US" w:eastAsia="zh-CN"/>
        </w:rPr>
        <w:t>事项</w:t>
      </w:r>
      <w:r>
        <w:rPr>
          <w:rFonts w:hint="eastAsia" w:ascii="仿宋_GB2312" w:hAnsi="仿宋_GB2312" w:eastAsia="仿宋_GB2312" w:cs="仿宋_GB2312"/>
          <w:color w:val="auto"/>
          <w:sz w:val="32"/>
          <w:szCs w:val="32"/>
        </w:rPr>
        <w:t>通知如下：</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ab/>
      </w:r>
    </w:p>
    <w:p w14:paraId="03EF6B7B">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b/>
          <w:bCs/>
          <w:color w:val="auto"/>
          <w:kern w:val="0"/>
          <w:sz w:val="32"/>
          <w:szCs w:val="32"/>
        </w:rPr>
      </w:pPr>
      <w:r>
        <w:rPr>
          <w:rFonts w:hint="eastAsia" w:ascii="黑体" w:hAnsi="黑体" w:eastAsia="黑体" w:cs="黑体"/>
          <w:b w:val="0"/>
          <w:bCs w:val="0"/>
          <w:color w:val="auto"/>
          <w:kern w:val="0"/>
          <w:sz w:val="32"/>
          <w:szCs w:val="32"/>
        </w:rPr>
        <w:t>一、</w:t>
      </w:r>
      <w:r>
        <w:rPr>
          <w:rFonts w:hint="eastAsia" w:ascii="黑体" w:hAnsi="黑体" w:eastAsia="黑体" w:cs="黑体"/>
          <w:b w:val="0"/>
          <w:bCs w:val="0"/>
          <w:color w:val="auto"/>
          <w:kern w:val="0"/>
          <w:sz w:val="32"/>
          <w:szCs w:val="32"/>
          <w:lang w:val="en-US" w:eastAsia="zh-CN"/>
        </w:rPr>
        <w:t>立项类别与数量</w:t>
      </w:r>
      <w:r>
        <w:rPr>
          <w:rFonts w:hint="eastAsia" w:ascii="黑体" w:hAnsi="黑体" w:eastAsia="黑体" w:cs="黑体"/>
          <w:b w:val="0"/>
          <w:bCs w:val="0"/>
          <w:color w:val="auto"/>
          <w:kern w:val="0"/>
          <w:sz w:val="32"/>
          <w:szCs w:val="32"/>
        </w:rPr>
        <w:t xml:space="preserve"> </w:t>
      </w:r>
      <w:r>
        <w:rPr>
          <w:rFonts w:hint="eastAsia" w:ascii="仿宋_GB2312" w:hAnsi="仿宋_GB2312" w:eastAsia="仿宋_GB2312" w:cs="仿宋_GB2312"/>
          <w:b/>
          <w:bCs/>
          <w:color w:val="auto"/>
          <w:kern w:val="0"/>
          <w:sz w:val="32"/>
          <w:szCs w:val="32"/>
        </w:rPr>
        <w:t xml:space="preserve">                               </w:t>
      </w:r>
    </w:p>
    <w:p w14:paraId="6E4D2BEB">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eastAsia="zh-CN"/>
        </w:rPr>
        <w:t>（</w:t>
      </w:r>
      <w:r>
        <w:rPr>
          <w:rFonts w:hint="eastAsia" w:ascii="楷体_GB2312" w:hAnsi="楷体_GB2312" w:eastAsia="楷体_GB2312" w:cs="楷体_GB2312"/>
          <w:b w:val="0"/>
          <w:bCs w:val="0"/>
          <w:color w:val="auto"/>
          <w:sz w:val="32"/>
          <w:szCs w:val="32"/>
          <w:lang w:val="en-US" w:eastAsia="zh-CN"/>
        </w:rPr>
        <w:t>一</w:t>
      </w:r>
      <w:r>
        <w:rPr>
          <w:rFonts w:hint="eastAsia" w:ascii="楷体_GB2312" w:hAnsi="楷体_GB2312" w:eastAsia="楷体_GB2312" w:cs="楷体_GB2312"/>
          <w:b w:val="0"/>
          <w:bCs w:val="0"/>
          <w:color w:val="auto"/>
          <w:sz w:val="32"/>
          <w:szCs w:val="32"/>
          <w:lang w:eastAsia="zh-CN"/>
        </w:rPr>
        <w:t>）</w:t>
      </w:r>
      <w:r>
        <w:rPr>
          <w:rFonts w:hint="eastAsia" w:ascii="楷体_GB2312" w:hAnsi="楷体_GB2312" w:eastAsia="楷体_GB2312" w:cs="楷体_GB2312"/>
          <w:b w:val="0"/>
          <w:bCs w:val="0"/>
          <w:color w:val="auto"/>
          <w:sz w:val="32"/>
          <w:szCs w:val="32"/>
          <w:lang w:val="en-US" w:eastAsia="zh-CN"/>
        </w:rPr>
        <w:t>立项类别</w:t>
      </w:r>
    </w:p>
    <w:p w14:paraId="6956D7E5">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年度校级</w:t>
      </w:r>
      <w:r>
        <w:rPr>
          <w:rFonts w:hint="eastAsia" w:ascii="仿宋_GB2312" w:hAnsi="仿宋_GB2312" w:eastAsia="仿宋_GB2312" w:cs="仿宋_GB2312"/>
          <w:color w:val="auto"/>
          <w:sz w:val="32"/>
          <w:szCs w:val="32"/>
          <w:highlight w:val="none"/>
          <w:lang w:val="en-US" w:eastAsia="zh-CN"/>
        </w:rPr>
        <w:t>智慧课程</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立项</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产教融合课程、</w:t>
      </w:r>
      <w:r>
        <w:rPr>
          <w:rFonts w:hint="eastAsia" w:ascii="仿宋_GB2312" w:hAnsi="仿宋_GB2312" w:eastAsia="仿宋_GB2312" w:cs="仿宋_GB2312"/>
          <w:color w:val="auto"/>
          <w:sz w:val="32"/>
          <w:szCs w:val="32"/>
          <w:highlight w:val="none"/>
        </w:rPr>
        <w:t>课程思政示范课</w:t>
      </w:r>
      <w:r>
        <w:rPr>
          <w:rFonts w:hint="eastAsia" w:ascii="仿宋_GB2312" w:hAnsi="仿宋_GB2312" w:eastAsia="仿宋_GB2312" w:cs="仿宋_GB2312"/>
          <w:color w:val="auto"/>
          <w:sz w:val="32"/>
          <w:szCs w:val="32"/>
          <w:highlight w:val="none"/>
          <w:lang w:val="en-US" w:eastAsia="zh-CN"/>
        </w:rPr>
        <w:t>程</w:t>
      </w:r>
      <w:r>
        <w:rPr>
          <w:rFonts w:hint="eastAsia" w:ascii="仿宋_GB2312" w:hAnsi="仿宋_GB2312" w:eastAsia="仿宋_GB2312" w:cs="仿宋_GB2312"/>
          <w:color w:val="auto"/>
          <w:sz w:val="32"/>
          <w:szCs w:val="32"/>
          <w:highlight w:val="none"/>
          <w:lang w:eastAsia="zh-CN"/>
        </w:rPr>
        <w:t>、</w:t>
      </w:r>
      <w:r>
        <w:rPr>
          <w:rFonts w:hint="default" w:ascii="Times New Roman" w:hAnsi="Times New Roman" w:eastAsia="仿宋_GB2312" w:cs="Times New Roman"/>
          <w:kern w:val="2"/>
          <w:sz w:val="32"/>
          <w:szCs w:val="32"/>
          <w:highlight w:val="none"/>
          <w:lang w:val="en-US" w:eastAsia="zh-CN" w:bidi="ar"/>
        </w:rPr>
        <w:t>“两山”理念专项</w:t>
      </w:r>
      <w:r>
        <w:rPr>
          <w:rFonts w:hint="eastAsia" w:ascii="仿宋_GB2312" w:hAnsi="仿宋_GB2312" w:eastAsia="仿宋_GB2312" w:cs="仿宋_GB2312"/>
          <w:color w:val="auto"/>
          <w:sz w:val="32"/>
          <w:szCs w:val="32"/>
          <w:highlight w:val="none"/>
          <w:lang w:val="en-US" w:eastAsia="zh-CN"/>
        </w:rPr>
        <w:t>课程、</w:t>
      </w:r>
      <w:r>
        <w:rPr>
          <w:rFonts w:hint="default" w:ascii="Times New Roman" w:hAnsi="Times New Roman" w:eastAsia="仿宋_GB2312" w:cs="Times New Roman"/>
          <w:kern w:val="2"/>
          <w:sz w:val="32"/>
          <w:szCs w:val="32"/>
          <w:highlight w:val="none"/>
          <w:lang w:val="en-US" w:eastAsia="zh-CN" w:bidi="ar"/>
        </w:rPr>
        <w:t>“</w:t>
      </w:r>
      <w:r>
        <w:rPr>
          <w:rFonts w:hint="eastAsia" w:ascii="Times New Roman" w:hAnsi="Times New Roman" w:eastAsia="仿宋_GB2312" w:cs="Times New Roman"/>
          <w:kern w:val="2"/>
          <w:sz w:val="32"/>
          <w:szCs w:val="32"/>
          <w:highlight w:val="none"/>
          <w:lang w:val="en-US" w:eastAsia="zh-CN" w:bidi="ar"/>
        </w:rPr>
        <w:t>湖学</w:t>
      </w:r>
      <w:r>
        <w:rPr>
          <w:rFonts w:hint="default" w:ascii="Times New Roman" w:hAnsi="Times New Roman" w:eastAsia="仿宋_GB2312" w:cs="Times New Roman"/>
          <w:kern w:val="2"/>
          <w:sz w:val="32"/>
          <w:szCs w:val="32"/>
          <w:highlight w:val="none"/>
          <w:lang w:val="en-US" w:eastAsia="zh-CN" w:bidi="ar"/>
        </w:rPr>
        <w:t>”专项</w:t>
      </w:r>
      <w:r>
        <w:rPr>
          <w:rFonts w:hint="eastAsia" w:ascii="仿宋_GB2312" w:hAnsi="仿宋_GB2312" w:eastAsia="仿宋_GB2312" w:cs="仿宋_GB2312"/>
          <w:color w:val="auto"/>
          <w:sz w:val="32"/>
          <w:szCs w:val="32"/>
          <w:highlight w:val="none"/>
          <w:lang w:val="en-US" w:eastAsia="zh-CN"/>
        </w:rPr>
        <w:t>课程、人工智能通识课程、人工智能核心技术课程、</w:t>
      </w:r>
      <w:r>
        <w:rPr>
          <w:rFonts w:hint="eastAsia" w:ascii="仿宋_GB2312" w:hAnsi="仿宋_GB2312" w:eastAsia="仿宋_GB2312" w:cs="仿宋_GB2312"/>
          <w:color w:val="auto"/>
          <w:sz w:val="32"/>
          <w:szCs w:val="32"/>
          <w:highlight w:val="none"/>
        </w:rPr>
        <w:t>人工智能跨学科融合课程</w:t>
      </w:r>
      <w:r>
        <w:rPr>
          <w:rFonts w:hint="eastAsia" w:ascii="仿宋_GB2312" w:hAnsi="仿宋_GB2312" w:eastAsia="仿宋_GB2312" w:cs="仿宋_GB2312"/>
          <w:color w:val="auto"/>
          <w:sz w:val="32"/>
          <w:szCs w:val="32"/>
          <w:highlight w:val="none"/>
          <w:lang w:eastAsia="zh-CN"/>
        </w:rPr>
        <w:t>。</w:t>
      </w:r>
    </w:p>
    <w:p w14:paraId="641110D6">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楷体_GB2312" w:hAnsi="楷体_GB2312" w:eastAsia="楷体_GB2312" w:cs="楷体_GB2312"/>
          <w:b w:val="0"/>
          <w:bCs w:val="0"/>
          <w:color w:val="auto"/>
          <w:kern w:val="0"/>
          <w:sz w:val="32"/>
          <w:szCs w:val="32"/>
          <w:lang w:val="en-US" w:eastAsia="zh-CN" w:bidi="ar"/>
        </w:rPr>
      </w:pPr>
      <w:r>
        <w:rPr>
          <w:rFonts w:hint="eastAsia" w:ascii="楷体_GB2312" w:hAnsi="楷体_GB2312" w:eastAsia="楷体_GB2312" w:cs="楷体_GB2312"/>
          <w:b w:val="0"/>
          <w:bCs w:val="0"/>
          <w:color w:val="auto"/>
          <w:kern w:val="0"/>
          <w:sz w:val="32"/>
          <w:szCs w:val="32"/>
          <w:lang w:eastAsia="zh-CN" w:bidi="ar"/>
        </w:rPr>
        <w:t>（</w:t>
      </w:r>
      <w:r>
        <w:rPr>
          <w:rFonts w:hint="eastAsia" w:ascii="楷体_GB2312" w:hAnsi="楷体_GB2312" w:eastAsia="楷体_GB2312" w:cs="楷体_GB2312"/>
          <w:b w:val="0"/>
          <w:bCs w:val="0"/>
          <w:color w:val="auto"/>
          <w:kern w:val="0"/>
          <w:sz w:val="32"/>
          <w:szCs w:val="32"/>
          <w:lang w:val="en-US" w:eastAsia="zh-CN" w:bidi="ar"/>
        </w:rPr>
        <w:t>二</w:t>
      </w:r>
      <w:r>
        <w:rPr>
          <w:rFonts w:hint="eastAsia" w:ascii="楷体_GB2312" w:hAnsi="楷体_GB2312" w:eastAsia="楷体_GB2312" w:cs="楷体_GB2312"/>
          <w:b w:val="0"/>
          <w:bCs w:val="0"/>
          <w:color w:val="auto"/>
          <w:kern w:val="0"/>
          <w:sz w:val="32"/>
          <w:szCs w:val="32"/>
          <w:lang w:eastAsia="zh-CN" w:bidi="ar"/>
        </w:rPr>
        <w:t>）</w:t>
      </w:r>
      <w:r>
        <w:rPr>
          <w:rFonts w:hint="eastAsia" w:ascii="楷体_GB2312" w:hAnsi="楷体_GB2312" w:eastAsia="楷体_GB2312" w:cs="楷体_GB2312"/>
          <w:b w:val="0"/>
          <w:bCs w:val="0"/>
          <w:color w:val="auto"/>
          <w:kern w:val="0"/>
          <w:sz w:val="32"/>
          <w:szCs w:val="32"/>
          <w:lang w:val="en-US" w:eastAsia="zh-CN" w:bidi="ar"/>
        </w:rPr>
        <w:t>立项数量</w:t>
      </w:r>
    </w:p>
    <w:p w14:paraId="04D1635F">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本年度计划</w:t>
      </w:r>
      <w:r>
        <w:rPr>
          <w:rFonts w:hint="eastAsia" w:ascii="仿宋_GB2312" w:hAnsi="仿宋_GB2312" w:eastAsia="仿宋_GB2312" w:cs="仿宋_GB2312"/>
          <w:color w:val="auto"/>
          <w:sz w:val="32"/>
          <w:szCs w:val="32"/>
          <w:highlight w:val="none"/>
          <w:lang w:val="en-US" w:eastAsia="zh-CN"/>
        </w:rPr>
        <w:t>立项</w:t>
      </w:r>
      <w:r>
        <w:rPr>
          <w:rFonts w:hint="eastAsia" w:ascii="仿宋_GB2312" w:hAnsi="仿宋_GB2312" w:eastAsia="仿宋_GB2312" w:cs="仿宋_GB2312"/>
          <w:color w:val="auto"/>
          <w:sz w:val="32"/>
          <w:szCs w:val="32"/>
          <w:highlight w:val="none"/>
        </w:rPr>
        <w:t>校级</w:t>
      </w:r>
      <w:r>
        <w:rPr>
          <w:rFonts w:hint="eastAsia" w:ascii="仿宋_GB2312" w:hAnsi="仿宋_GB2312" w:eastAsia="仿宋_GB2312" w:cs="仿宋_GB2312"/>
          <w:color w:val="auto"/>
          <w:sz w:val="32"/>
          <w:szCs w:val="32"/>
          <w:highlight w:val="none"/>
          <w:lang w:val="en-US" w:eastAsia="zh-CN"/>
        </w:rPr>
        <w:t>智慧课程建设项目共45项，具体名额分配见下表</w:t>
      </w:r>
      <w:r>
        <w:rPr>
          <w:rFonts w:hint="eastAsia" w:ascii="仿宋_GB2312" w:hAnsi="仿宋_GB2312" w:eastAsia="仿宋_GB2312" w:cs="仿宋_GB2312"/>
          <w:color w:val="auto"/>
          <w:sz w:val="32"/>
          <w:szCs w:val="32"/>
          <w:highlight w:val="none"/>
        </w:rPr>
        <w:t xml:space="preserve">。 </w:t>
      </w:r>
    </w:p>
    <w:p w14:paraId="1D6B0D4B">
      <w:pPr>
        <w:keepNext w:val="0"/>
        <w:keepLines w:val="0"/>
        <w:pageBreakBefore w:val="0"/>
        <w:widowControl/>
        <w:kinsoku/>
        <w:wordWrap/>
        <w:overflowPunct/>
        <w:topLinePunct w:val="0"/>
        <w:autoSpaceDE/>
        <w:autoSpaceDN/>
        <w:bidi w:val="0"/>
        <w:adjustRightInd/>
        <w:snapToGrid w:val="0"/>
        <w:spacing w:line="560" w:lineRule="exact"/>
        <w:jc w:val="center"/>
        <w:rPr>
          <w:rFonts w:hint="eastAsia" w:ascii="黑体" w:hAnsi="黑体" w:eastAsia="黑体" w:cs="黑体"/>
          <w:b w:val="0"/>
          <w:bCs w:val="0"/>
          <w:color w:val="auto"/>
          <w:kern w:val="0"/>
          <w:sz w:val="28"/>
          <w:szCs w:val="28"/>
          <w:highlight w:val="none"/>
          <w:lang w:val="en-US" w:eastAsia="zh-CN"/>
        </w:rPr>
      </w:pPr>
      <w:r>
        <w:rPr>
          <w:rFonts w:hint="eastAsia" w:ascii="黑体" w:hAnsi="黑体" w:eastAsia="黑体" w:cs="黑体"/>
          <w:b w:val="0"/>
          <w:bCs w:val="0"/>
          <w:color w:val="auto"/>
          <w:kern w:val="0"/>
          <w:sz w:val="28"/>
          <w:szCs w:val="28"/>
          <w:lang w:val="en-US" w:eastAsia="zh-CN"/>
        </w:rPr>
        <w:t>湖州学院2026年校级智慧课程立项限额（门）</w:t>
      </w:r>
    </w:p>
    <w:tbl>
      <w:tblPr>
        <w:tblStyle w:val="9"/>
        <w:tblW w:w="99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52"/>
        <w:gridCol w:w="1172"/>
        <w:gridCol w:w="1262"/>
        <w:gridCol w:w="1175"/>
        <w:gridCol w:w="1175"/>
        <w:gridCol w:w="1371"/>
        <w:gridCol w:w="1555"/>
        <w:gridCol w:w="1051"/>
      </w:tblGrid>
      <w:tr w14:paraId="08A4F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0" w:hRule="atLeast"/>
          <w:jc w:val="center"/>
        </w:trPr>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51483">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产教融合课程</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00CD0">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课程思政示范课程</w:t>
            </w: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A03ED">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_GB2312" w:hAnsi="宋体" w:eastAsia="仿宋_GB2312" w:cs="仿宋_GB2312"/>
                <w:i w:val="0"/>
                <w:iCs w:val="0"/>
                <w:color w:val="000000"/>
                <w:sz w:val="28"/>
                <w:szCs w:val="28"/>
                <w:u w:val="none"/>
              </w:rPr>
            </w:pPr>
            <w:r>
              <w:rPr>
                <w:rFonts w:hint="default" w:ascii="Times New Roman" w:hAnsi="Times New Roman" w:eastAsia="仿宋_GB2312" w:cs="Times New Roman"/>
                <w:kern w:val="2"/>
                <w:sz w:val="28"/>
                <w:szCs w:val="28"/>
                <w:highlight w:val="none"/>
                <w:lang w:val="en-US" w:eastAsia="zh-CN" w:bidi="ar"/>
              </w:rPr>
              <w:t>“两山”理念专项</w:t>
            </w:r>
            <w:r>
              <w:rPr>
                <w:rFonts w:hint="eastAsia" w:ascii="仿宋_GB2312" w:hAnsi="仿宋_GB2312" w:eastAsia="仿宋_GB2312" w:cs="仿宋_GB2312"/>
                <w:color w:val="auto"/>
                <w:sz w:val="28"/>
                <w:szCs w:val="28"/>
                <w:highlight w:val="none"/>
                <w:lang w:val="en-US" w:eastAsia="zh-CN"/>
              </w:rPr>
              <w:t>课程</w:t>
            </w:r>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14:paraId="0F39969B">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color w:val="auto"/>
                <w:sz w:val="28"/>
                <w:szCs w:val="28"/>
                <w:highlight w:val="none"/>
                <w:lang w:eastAsia="zh-CN"/>
              </w:rPr>
            </w:pPr>
            <w:r>
              <w:rPr>
                <w:rFonts w:hint="default" w:ascii="Times New Roman" w:hAnsi="Times New Roman" w:eastAsia="仿宋_GB2312" w:cs="Times New Roman"/>
                <w:kern w:val="2"/>
                <w:sz w:val="28"/>
                <w:szCs w:val="28"/>
                <w:highlight w:val="none"/>
                <w:lang w:val="en-US" w:eastAsia="zh-CN" w:bidi="ar"/>
              </w:rPr>
              <w:t>“</w:t>
            </w:r>
            <w:r>
              <w:rPr>
                <w:rFonts w:hint="eastAsia" w:ascii="Times New Roman" w:hAnsi="Times New Roman" w:eastAsia="仿宋_GB2312" w:cs="Times New Roman"/>
                <w:kern w:val="2"/>
                <w:sz w:val="28"/>
                <w:szCs w:val="28"/>
                <w:highlight w:val="none"/>
                <w:lang w:val="en-US" w:eastAsia="zh-CN" w:bidi="ar"/>
              </w:rPr>
              <w:t>湖学</w:t>
            </w:r>
            <w:r>
              <w:rPr>
                <w:rFonts w:hint="default" w:ascii="Times New Roman" w:hAnsi="Times New Roman" w:eastAsia="仿宋_GB2312" w:cs="Times New Roman"/>
                <w:kern w:val="2"/>
                <w:sz w:val="28"/>
                <w:szCs w:val="28"/>
                <w:highlight w:val="none"/>
                <w:lang w:val="en-US" w:eastAsia="zh-CN" w:bidi="ar"/>
              </w:rPr>
              <w:t>”专项</w:t>
            </w:r>
            <w:r>
              <w:rPr>
                <w:rFonts w:hint="eastAsia" w:ascii="仿宋_GB2312" w:hAnsi="仿宋_GB2312" w:eastAsia="仿宋_GB2312" w:cs="仿宋_GB2312"/>
                <w:color w:val="auto"/>
                <w:sz w:val="28"/>
                <w:szCs w:val="28"/>
                <w:highlight w:val="none"/>
                <w:lang w:val="en-US" w:eastAsia="zh-CN"/>
              </w:rPr>
              <w:t>课程</w:t>
            </w:r>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14:paraId="5A372BD9">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仿宋_GB2312" w:eastAsia="仿宋_GB2312" w:cs="仿宋_GB2312"/>
                <w:color w:val="auto"/>
                <w:sz w:val="28"/>
                <w:szCs w:val="28"/>
                <w:highlight w:val="none"/>
                <w:lang w:eastAsia="zh-CN"/>
              </w:rPr>
              <w:t>人工智能通识课程</w:t>
            </w:r>
          </w:p>
        </w:tc>
        <w:tc>
          <w:tcPr>
            <w:tcW w:w="1371" w:type="dxa"/>
            <w:tcBorders>
              <w:top w:val="single" w:color="auto" w:sz="4" w:space="0"/>
              <w:left w:val="single" w:color="auto" w:sz="4" w:space="0"/>
              <w:bottom w:val="single" w:color="auto" w:sz="4" w:space="0"/>
              <w:right w:val="single" w:color="auto" w:sz="4" w:space="0"/>
            </w:tcBorders>
            <w:shd w:val="clear" w:color="auto" w:fill="auto"/>
            <w:vAlign w:val="center"/>
          </w:tcPr>
          <w:p w14:paraId="042F8201">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_GB2312" w:hAnsi="宋体"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color w:val="auto"/>
                <w:sz w:val="28"/>
                <w:szCs w:val="28"/>
                <w:highlight w:val="none"/>
                <w:lang w:eastAsia="zh-CN"/>
              </w:rPr>
              <w:t>人工智能核心技术课程</w:t>
            </w:r>
          </w:p>
        </w:tc>
        <w:tc>
          <w:tcPr>
            <w:tcW w:w="1555" w:type="dxa"/>
            <w:tcBorders>
              <w:top w:val="single" w:color="auto" w:sz="4" w:space="0"/>
              <w:left w:val="single" w:color="auto" w:sz="4" w:space="0"/>
              <w:bottom w:val="single" w:color="auto" w:sz="4" w:space="0"/>
              <w:right w:val="single" w:color="auto" w:sz="4" w:space="0"/>
            </w:tcBorders>
            <w:shd w:val="clear" w:color="auto" w:fill="auto"/>
            <w:vAlign w:val="center"/>
          </w:tcPr>
          <w:p w14:paraId="0B19BABD">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default" w:ascii="仿宋_GB2312" w:hAnsi="宋体"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color w:val="auto"/>
                <w:sz w:val="28"/>
                <w:szCs w:val="28"/>
                <w:highlight w:val="none"/>
                <w:lang w:eastAsia="zh-CN"/>
              </w:rPr>
              <w:t>人工智能跨学科融合课程</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14:paraId="7C4DA1AA">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_GB2312" w:hAnsi="宋体" w:eastAsia="仿宋_GB2312" w:cs="仿宋_GB2312"/>
                <w:i w:val="0"/>
                <w:iCs w:val="0"/>
                <w:color w:val="000000"/>
                <w:kern w:val="0"/>
                <w:sz w:val="28"/>
                <w:szCs w:val="28"/>
                <w:u w:val="none"/>
                <w:lang w:val="en-US" w:eastAsia="zh-CN" w:bidi="ar"/>
              </w:rPr>
            </w:pPr>
            <w:r>
              <w:rPr>
                <w:rFonts w:hint="eastAsia" w:ascii="仿宋_GB2312" w:hAnsi="宋体" w:eastAsia="仿宋_GB2312" w:cs="仿宋_GB2312"/>
                <w:i w:val="0"/>
                <w:iCs w:val="0"/>
                <w:color w:val="000000"/>
                <w:kern w:val="0"/>
                <w:sz w:val="28"/>
                <w:szCs w:val="28"/>
                <w:u w:val="none"/>
                <w:lang w:val="en-US" w:eastAsia="zh-CN" w:bidi="ar"/>
              </w:rPr>
              <w:t>合计</w:t>
            </w:r>
          </w:p>
        </w:tc>
      </w:tr>
      <w:tr w14:paraId="583F8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jc w:val="center"/>
        </w:trPr>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23989">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default" w:ascii="宋体" w:hAnsi="宋体" w:eastAsia="宋体" w:cs="宋体"/>
                <w:i w:val="0"/>
                <w:iCs w:val="0"/>
                <w:color w:val="000000"/>
                <w:sz w:val="28"/>
                <w:szCs w:val="28"/>
                <w:u w:val="none"/>
                <w:lang w:val="en-US" w:eastAsia="zh-CN"/>
              </w:rPr>
            </w:pPr>
            <w:r>
              <w:rPr>
                <w:rFonts w:hint="eastAsia" w:ascii="宋体" w:hAnsi="宋体" w:eastAsia="宋体" w:cs="宋体"/>
                <w:i w:val="0"/>
                <w:iCs w:val="0"/>
                <w:color w:val="000000"/>
                <w:sz w:val="28"/>
                <w:szCs w:val="28"/>
                <w:u w:val="none"/>
                <w:lang w:val="en-US" w:eastAsia="zh-CN"/>
              </w:rPr>
              <w:t>10</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D41F9">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default" w:ascii="宋体" w:hAnsi="宋体" w:eastAsia="宋体" w:cs="宋体"/>
                <w:i w:val="0"/>
                <w:iCs w:val="0"/>
                <w:color w:val="000000"/>
                <w:sz w:val="28"/>
                <w:szCs w:val="28"/>
                <w:u w:val="none"/>
                <w:lang w:val="en-US" w:eastAsia="zh-CN"/>
              </w:rPr>
            </w:pPr>
            <w:r>
              <w:rPr>
                <w:rFonts w:hint="eastAsia" w:ascii="宋体" w:hAnsi="宋体" w:eastAsia="宋体" w:cs="宋体"/>
                <w:i w:val="0"/>
                <w:iCs w:val="0"/>
                <w:color w:val="000000"/>
                <w:sz w:val="28"/>
                <w:szCs w:val="28"/>
                <w:u w:val="none"/>
                <w:lang w:val="en-US" w:eastAsia="zh-CN"/>
              </w:rPr>
              <w:t>10</w:t>
            </w: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A8F4B">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宋体" w:hAnsi="宋体" w:eastAsia="宋体" w:cs="宋体"/>
                <w:i w:val="0"/>
                <w:iCs w:val="0"/>
                <w:color w:val="000000"/>
                <w:sz w:val="28"/>
                <w:szCs w:val="28"/>
                <w:u w:val="none"/>
                <w:lang w:val="en-US" w:eastAsia="zh-CN"/>
              </w:rPr>
            </w:pPr>
            <w:r>
              <w:rPr>
                <w:rFonts w:hint="eastAsia" w:ascii="宋体" w:hAnsi="宋体" w:eastAsia="宋体" w:cs="宋体"/>
                <w:i w:val="0"/>
                <w:iCs w:val="0"/>
                <w:color w:val="000000"/>
                <w:sz w:val="28"/>
                <w:szCs w:val="28"/>
                <w:u w:val="none"/>
                <w:lang w:val="en-US" w:eastAsia="zh-CN"/>
              </w:rPr>
              <w:t>3</w:t>
            </w:r>
          </w:p>
        </w:tc>
        <w:tc>
          <w:tcPr>
            <w:tcW w:w="1175" w:type="dxa"/>
            <w:tcBorders>
              <w:top w:val="single" w:color="auto" w:sz="4" w:space="0"/>
              <w:left w:val="single" w:color="000000" w:sz="4" w:space="0"/>
              <w:bottom w:val="single" w:color="000000" w:sz="4" w:space="0"/>
              <w:right w:val="single" w:color="000000" w:sz="4" w:space="0"/>
            </w:tcBorders>
            <w:shd w:val="clear" w:color="auto" w:fill="auto"/>
            <w:vAlign w:val="center"/>
          </w:tcPr>
          <w:p w14:paraId="77030635">
            <w:pPr>
              <w:keepNext w:val="0"/>
              <w:keepLines w:val="0"/>
              <w:pageBreakBefore w:val="0"/>
              <w:widowControl/>
              <w:suppressLineNumbers w:val="0"/>
              <w:tabs>
                <w:tab w:val="left" w:pos="307"/>
              </w:tabs>
              <w:kinsoku/>
              <w:wordWrap/>
              <w:overflowPunct/>
              <w:topLinePunct w:val="0"/>
              <w:autoSpaceDE/>
              <w:autoSpaceDN/>
              <w:bidi w:val="0"/>
              <w:adjustRightInd/>
              <w:spacing w:line="560" w:lineRule="exact"/>
              <w:jc w:val="center"/>
              <w:textAlignment w:val="center"/>
              <w:rPr>
                <w:rFonts w:hint="default" w:ascii="宋体" w:hAnsi="宋体" w:eastAsia="宋体" w:cs="宋体"/>
                <w:i w:val="0"/>
                <w:iCs w:val="0"/>
                <w:color w:val="000000"/>
                <w:sz w:val="28"/>
                <w:szCs w:val="28"/>
                <w:u w:val="none"/>
                <w:lang w:val="en-US" w:eastAsia="zh-CN"/>
              </w:rPr>
            </w:pPr>
            <w:r>
              <w:rPr>
                <w:rFonts w:hint="eastAsia" w:ascii="宋体" w:hAnsi="宋体" w:eastAsia="宋体" w:cs="宋体"/>
                <w:i w:val="0"/>
                <w:iCs w:val="0"/>
                <w:color w:val="000000"/>
                <w:sz w:val="28"/>
                <w:szCs w:val="28"/>
                <w:u w:val="none"/>
                <w:lang w:val="en-US" w:eastAsia="zh-CN"/>
              </w:rPr>
              <w:t>3</w:t>
            </w:r>
          </w:p>
        </w:tc>
        <w:tc>
          <w:tcPr>
            <w:tcW w:w="1175" w:type="dxa"/>
            <w:tcBorders>
              <w:top w:val="single" w:color="auto" w:sz="4" w:space="0"/>
              <w:left w:val="single" w:color="000000" w:sz="4" w:space="0"/>
              <w:bottom w:val="single" w:color="000000" w:sz="4" w:space="0"/>
              <w:right w:val="single" w:color="000000" w:sz="4" w:space="0"/>
            </w:tcBorders>
            <w:shd w:val="clear" w:color="auto" w:fill="auto"/>
            <w:vAlign w:val="center"/>
          </w:tcPr>
          <w:p w14:paraId="31EEA7D9">
            <w:pPr>
              <w:keepNext w:val="0"/>
              <w:keepLines w:val="0"/>
              <w:pageBreakBefore w:val="0"/>
              <w:widowControl/>
              <w:suppressLineNumbers w:val="0"/>
              <w:tabs>
                <w:tab w:val="left" w:pos="307"/>
              </w:tabs>
              <w:kinsoku/>
              <w:wordWrap/>
              <w:overflowPunct/>
              <w:topLinePunct w:val="0"/>
              <w:autoSpaceDE/>
              <w:autoSpaceDN/>
              <w:bidi w:val="0"/>
              <w:adjustRightInd/>
              <w:spacing w:line="560" w:lineRule="exact"/>
              <w:jc w:val="center"/>
              <w:textAlignment w:val="center"/>
              <w:rPr>
                <w:rFonts w:hint="default" w:ascii="宋体" w:hAnsi="宋体" w:eastAsia="宋体" w:cs="宋体"/>
                <w:i w:val="0"/>
                <w:iCs w:val="0"/>
                <w:color w:val="000000"/>
                <w:sz w:val="28"/>
                <w:szCs w:val="28"/>
                <w:u w:val="none"/>
                <w:lang w:val="en-US" w:eastAsia="zh-CN"/>
              </w:rPr>
            </w:pPr>
            <w:r>
              <w:rPr>
                <w:rFonts w:hint="eastAsia" w:ascii="宋体" w:hAnsi="宋体" w:eastAsia="宋体" w:cs="宋体"/>
                <w:i w:val="0"/>
                <w:iCs w:val="0"/>
                <w:color w:val="000000"/>
                <w:sz w:val="28"/>
                <w:szCs w:val="28"/>
                <w:u w:val="none"/>
                <w:lang w:val="en-US" w:eastAsia="zh-CN"/>
              </w:rPr>
              <w:t>5</w:t>
            </w:r>
          </w:p>
        </w:tc>
        <w:tc>
          <w:tcPr>
            <w:tcW w:w="1371" w:type="dxa"/>
            <w:tcBorders>
              <w:top w:val="single" w:color="auto" w:sz="4" w:space="0"/>
              <w:left w:val="single" w:color="000000" w:sz="4" w:space="0"/>
              <w:bottom w:val="single" w:color="000000" w:sz="4" w:space="0"/>
              <w:right w:val="single" w:color="000000" w:sz="4" w:space="0"/>
            </w:tcBorders>
            <w:shd w:val="clear" w:color="auto" w:fill="auto"/>
            <w:vAlign w:val="center"/>
          </w:tcPr>
          <w:p w14:paraId="527C651D">
            <w:pPr>
              <w:keepNext w:val="0"/>
              <w:keepLines w:val="0"/>
              <w:pageBreakBefore w:val="0"/>
              <w:widowControl/>
              <w:suppressLineNumbers w:val="0"/>
              <w:tabs>
                <w:tab w:val="left" w:pos="213"/>
              </w:tabs>
              <w:kinsoku/>
              <w:wordWrap/>
              <w:overflowPunct/>
              <w:topLinePunct w:val="0"/>
              <w:autoSpaceDE/>
              <w:autoSpaceDN/>
              <w:bidi w:val="0"/>
              <w:adjustRightInd/>
              <w:spacing w:line="560" w:lineRule="exact"/>
              <w:jc w:val="left"/>
              <w:textAlignment w:val="center"/>
              <w:rPr>
                <w:rFonts w:hint="default"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ab/>
            </w:r>
            <w:r>
              <w:rPr>
                <w:rFonts w:hint="eastAsia" w:ascii="宋体" w:hAnsi="宋体" w:eastAsia="宋体" w:cs="宋体"/>
                <w:i w:val="0"/>
                <w:iCs w:val="0"/>
                <w:color w:val="000000"/>
                <w:kern w:val="0"/>
                <w:sz w:val="28"/>
                <w:szCs w:val="28"/>
                <w:u w:val="none"/>
                <w:lang w:val="en-US" w:eastAsia="zh-CN" w:bidi="ar"/>
              </w:rPr>
              <w:t xml:space="preserve">  3</w:t>
            </w:r>
          </w:p>
        </w:tc>
        <w:tc>
          <w:tcPr>
            <w:tcW w:w="1555" w:type="dxa"/>
            <w:tcBorders>
              <w:top w:val="single" w:color="auto" w:sz="4" w:space="0"/>
              <w:left w:val="single" w:color="000000" w:sz="4" w:space="0"/>
              <w:bottom w:val="single" w:color="000000" w:sz="4" w:space="0"/>
              <w:right w:val="single" w:color="000000" w:sz="4" w:space="0"/>
            </w:tcBorders>
            <w:shd w:val="clear" w:color="auto" w:fill="auto"/>
            <w:vAlign w:val="center"/>
          </w:tcPr>
          <w:p w14:paraId="01669157">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default"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11</w:t>
            </w:r>
          </w:p>
        </w:tc>
        <w:tc>
          <w:tcPr>
            <w:tcW w:w="1051" w:type="dxa"/>
            <w:tcBorders>
              <w:top w:val="single" w:color="auto" w:sz="4" w:space="0"/>
              <w:left w:val="single" w:color="000000" w:sz="4" w:space="0"/>
              <w:bottom w:val="single" w:color="000000" w:sz="4" w:space="0"/>
              <w:right w:val="single" w:color="000000" w:sz="4" w:space="0"/>
            </w:tcBorders>
            <w:shd w:val="clear" w:color="auto" w:fill="auto"/>
            <w:vAlign w:val="center"/>
          </w:tcPr>
          <w:p w14:paraId="03A335D9">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default"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45</w:t>
            </w:r>
          </w:p>
        </w:tc>
      </w:tr>
    </w:tbl>
    <w:p w14:paraId="23DA0F05">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cs="黑体"/>
          <w:b w:val="0"/>
          <w:bCs w:val="0"/>
          <w:color w:val="auto"/>
          <w:kern w:val="0"/>
          <w:sz w:val="32"/>
          <w:szCs w:val="32"/>
        </w:rPr>
      </w:pPr>
      <w:r>
        <w:rPr>
          <w:rFonts w:hint="eastAsia" w:ascii="黑体" w:hAnsi="黑体" w:eastAsia="黑体" w:cs="黑体"/>
          <w:b w:val="0"/>
          <w:bCs w:val="0"/>
          <w:color w:val="auto"/>
          <w:kern w:val="0"/>
          <w:sz w:val="32"/>
          <w:szCs w:val="32"/>
        </w:rPr>
        <w:t>二、申报</w:t>
      </w:r>
      <w:r>
        <w:rPr>
          <w:rFonts w:hint="eastAsia" w:ascii="黑体" w:hAnsi="黑体" w:eastAsia="黑体" w:cs="黑体"/>
          <w:b w:val="0"/>
          <w:bCs w:val="0"/>
          <w:color w:val="auto"/>
          <w:kern w:val="0"/>
          <w:sz w:val="32"/>
          <w:szCs w:val="32"/>
          <w:lang w:val="en-US" w:eastAsia="zh-CN"/>
        </w:rPr>
        <w:t>基本</w:t>
      </w:r>
      <w:r>
        <w:rPr>
          <w:rFonts w:hint="eastAsia" w:ascii="黑体" w:hAnsi="黑体" w:eastAsia="黑体" w:cs="黑体"/>
          <w:b w:val="0"/>
          <w:bCs w:val="0"/>
          <w:color w:val="auto"/>
          <w:kern w:val="0"/>
          <w:sz w:val="32"/>
          <w:szCs w:val="32"/>
        </w:rPr>
        <w:t xml:space="preserve">要求 </w:t>
      </w:r>
    </w:p>
    <w:p w14:paraId="50DDDA7E">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楷体_GB2312" w:hAnsi="楷体_GB2312" w:eastAsia="楷体_GB2312" w:cs="楷体_GB2312"/>
          <w:b w:val="0"/>
          <w:bCs w:val="0"/>
          <w:color w:val="auto"/>
          <w:kern w:val="0"/>
          <w:sz w:val="32"/>
          <w:szCs w:val="32"/>
          <w:lang w:val="en-US" w:eastAsia="zh-CN"/>
        </w:rPr>
      </w:pPr>
      <w:r>
        <w:rPr>
          <w:rFonts w:hint="eastAsia" w:ascii="楷体_GB2312" w:hAnsi="楷体_GB2312" w:eastAsia="楷体_GB2312" w:cs="楷体_GB2312"/>
          <w:b w:val="0"/>
          <w:bCs w:val="0"/>
          <w:color w:val="auto"/>
          <w:kern w:val="0"/>
          <w:sz w:val="32"/>
          <w:szCs w:val="32"/>
          <w:lang w:val="en-US" w:eastAsia="zh-CN"/>
        </w:rPr>
        <w:t>（一）课程要求</w:t>
      </w:r>
    </w:p>
    <w:p w14:paraId="357BE5EE">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1.申报课程</w:t>
      </w:r>
      <w:r>
        <w:rPr>
          <w:rFonts w:hint="eastAsia" w:ascii="仿宋_GB2312" w:hAnsi="仿宋_GB2312" w:eastAsia="仿宋_GB2312" w:cs="仿宋_GB2312"/>
          <w:color w:val="auto"/>
          <w:sz w:val="32"/>
          <w:szCs w:val="32"/>
          <w:highlight w:val="none"/>
        </w:rPr>
        <w:t>须为纳入人才培养方案且设置学分的本科课程。</w:t>
      </w:r>
    </w:p>
    <w:p w14:paraId="5C0D2BB0">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申报课程须深入贯彻习近平新时代中国特色社会主义思想和党的二十大精神，结合学科专业人才培养，在课程内容中融入思想政治教育；202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31</w:t>
      </w:r>
      <w:r>
        <w:rPr>
          <w:rFonts w:hint="eastAsia" w:ascii="仿宋_GB2312" w:hAnsi="仿宋_GB2312" w:eastAsia="仿宋_GB2312" w:cs="仿宋_GB2312"/>
          <w:color w:val="auto"/>
          <w:sz w:val="32"/>
          <w:szCs w:val="32"/>
          <w:highlight w:val="none"/>
        </w:rPr>
        <w:t>日前至少经过两个学期或两个教学周期的建设和完善（</w:t>
      </w:r>
      <w:r>
        <w:rPr>
          <w:rFonts w:hint="default" w:ascii="仿宋_GB2312" w:hAnsi="仿宋_GB2312" w:eastAsia="仿宋_GB2312" w:cs="仿宋_GB2312"/>
          <w:color w:val="auto"/>
          <w:sz w:val="32"/>
          <w:szCs w:val="32"/>
          <w:highlight w:val="none"/>
          <w:lang w:val="en-US" w:eastAsia="zh-CN"/>
        </w:rPr>
        <w:t>“两山”理念专项</w:t>
      </w:r>
      <w:r>
        <w:rPr>
          <w:rFonts w:hint="eastAsia" w:ascii="仿宋_GB2312" w:hAnsi="仿宋_GB2312" w:eastAsia="仿宋_GB2312" w:cs="仿宋_GB2312"/>
          <w:color w:val="auto"/>
          <w:sz w:val="32"/>
          <w:szCs w:val="32"/>
          <w:highlight w:val="none"/>
          <w:lang w:val="en-US" w:eastAsia="zh-CN"/>
        </w:rPr>
        <w:t>课程、</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湖学</w:t>
      </w:r>
      <w:r>
        <w:rPr>
          <w:rFonts w:hint="default" w:ascii="仿宋_GB2312" w:hAnsi="仿宋_GB2312" w:eastAsia="仿宋_GB2312" w:cs="仿宋_GB2312"/>
          <w:color w:val="auto"/>
          <w:sz w:val="32"/>
          <w:szCs w:val="32"/>
          <w:highlight w:val="none"/>
          <w:lang w:val="en-US" w:eastAsia="zh-CN"/>
        </w:rPr>
        <w:t>”专项</w:t>
      </w:r>
      <w:r>
        <w:rPr>
          <w:rFonts w:hint="eastAsia" w:ascii="仿宋_GB2312" w:hAnsi="仿宋_GB2312" w:eastAsia="仿宋_GB2312" w:cs="仿宋_GB2312"/>
          <w:color w:val="auto"/>
          <w:sz w:val="32"/>
          <w:szCs w:val="32"/>
          <w:highlight w:val="none"/>
          <w:lang w:val="en-US" w:eastAsia="zh-CN"/>
        </w:rPr>
        <w:t>课程、</w:t>
      </w:r>
      <w:r>
        <w:rPr>
          <w:rFonts w:hint="eastAsia" w:ascii="仿宋_GB2312" w:hAnsi="仿宋_GB2312" w:eastAsia="仿宋_GB2312" w:cs="仿宋_GB2312"/>
          <w:color w:val="auto"/>
          <w:sz w:val="32"/>
          <w:szCs w:val="32"/>
          <w:highlight w:val="none"/>
          <w:lang w:eastAsia="zh-CN"/>
        </w:rPr>
        <w:t>人工智能</w:t>
      </w:r>
      <w:r>
        <w:rPr>
          <w:rFonts w:hint="eastAsia" w:ascii="仿宋_GB2312" w:hAnsi="仿宋_GB2312" w:eastAsia="仿宋_GB2312" w:cs="仿宋_GB2312"/>
          <w:color w:val="auto"/>
          <w:sz w:val="32"/>
          <w:szCs w:val="32"/>
          <w:highlight w:val="none"/>
        </w:rPr>
        <w:t>课程可适度放宽对教学周期要求） ，在内容、方法、评价上有所创新并取得实质性改革成效，具有良好的教学效果，并承诺</w:t>
      </w:r>
      <w:r>
        <w:rPr>
          <w:rFonts w:hint="eastAsia" w:ascii="仿宋_GB2312" w:hAnsi="仿宋_GB2312" w:eastAsia="仿宋_GB2312" w:cs="仿宋_GB2312"/>
          <w:color w:val="auto"/>
          <w:sz w:val="32"/>
          <w:szCs w:val="32"/>
          <w:highlight w:val="none"/>
          <w:lang w:val="en-US" w:eastAsia="zh-CN"/>
        </w:rPr>
        <w:t>立项</w:t>
      </w:r>
      <w:r>
        <w:rPr>
          <w:rFonts w:hint="eastAsia" w:ascii="仿宋_GB2312" w:hAnsi="仿宋_GB2312" w:eastAsia="仿宋_GB2312" w:cs="仿宋_GB2312"/>
          <w:color w:val="auto"/>
          <w:sz w:val="32"/>
          <w:szCs w:val="32"/>
          <w:highlight w:val="none"/>
        </w:rPr>
        <w:t>后</w:t>
      </w:r>
      <w:r>
        <w:rPr>
          <w:rFonts w:hint="eastAsia" w:ascii="仿宋_GB2312" w:hAnsi="仿宋_GB2312" w:eastAsia="仿宋_GB2312" w:cs="仿宋_GB2312"/>
          <w:color w:val="auto"/>
          <w:sz w:val="32"/>
          <w:szCs w:val="32"/>
          <w:highlight w:val="none"/>
          <w:lang w:val="en-US" w:eastAsia="zh-CN"/>
        </w:rPr>
        <w:t>两</w:t>
      </w:r>
      <w:r>
        <w:rPr>
          <w:rFonts w:hint="eastAsia" w:ascii="仿宋_GB2312" w:hAnsi="仿宋_GB2312" w:eastAsia="仿宋_GB2312" w:cs="仿宋_GB2312"/>
          <w:color w:val="auto"/>
          <w:sz w:val="32"/>
          <w:szCs w:val="32"/>
          <w:highlight w:val="none"/>
        </w:rPr>
        <w:t>年内</w:t>
      </w:r>
      <w:r>
        <w:rPr>
          <w:rFonts w:hint="eastAsia" w:ascii="仿宋_GB2312" w:hAnsi="仿宋_GB2312" w:eastAsia="仿宋_GB2312" w:cs="仿宋_GB2312"/>
          <w:color w:val="auto"/>
          <w:sz w:val="32"/>
          <w:szCs w:val="32"/>
          <w:highlight w:val="none"/>
          <w:lang w:val="en-US" w:eastAsia="zh-CN"/>
        </w:rPr>
        <w:t>持续开课</w:t>
      </w:r>
      <w:r>
        <w:rPr>
          <w:rFonts w:hint="eastAsia" w:ascii="仿宋_GB2312" w:hAnsi="仿宋_GB2312" w:eastAsia="仿宋_GB2312" w:cs="仿宋_GB2312"/>
          <w:color w:val="auto"/>
          <w:sz w:val="32"/>
          <w:szCs w:val="32"/>
          <w:highlight w:val="none"/>
        </w:rPr>
        <w:t>。</w:t>
      </w:r>
    </w:p>
    <w:p w14:paraId="64C19587">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3.根据学校实际，凡要求“</w:t>
      </w:r>
      <w:r>
        <w:rPr>
          <w:rFonts w:hint="eastAsia" w:ascii="仿宋_GB2312" w:hAnsi="仿宋_GB2312" w:eastAsia="仿宋_GB2312" w:cs="仿宋_GB2312"/>
          <w:color w:val="auto"/>
          <w:sz w:val="32"/>
          <w:szCs w:val="32"/>
          <w:highlight w:val="none"/>
        </w:rPr>
        <w:t>至少经过两个学期或者教学周期的建设和完善</w:t>
      </w:r>
      <w:r>
        <w:rPr>
          <w:rFonts w:hint="eastAsia" w:ascii="仿宋_GB2312" w:hAnsi="仿宋_GB2312" w:eastAsia="仿宋_GB2312" w:cs="仿宋_GB2312"/>
          <w:color w:val="auto"/>
          <w:sz w:val="32"/>
          <w:szCs w:val="32"/>
          <w:highlight w:val="none"/>
          <w:lang w:val="en-US" w:eastAsia="zh-CN"/>
        </w:rPr>
        <w:t>”的课程，均涵盖申报人之前工作单位的建设周期。</w:t>
      </w:r>
    </w:p>
    <w:p w14:paraId="4D4D60BA">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4.课程资源知识产权清晰明确，不侵犯第三方权益。</w:t>
      </w:r>
    </w:p>
    <w:p w14:paraId="5306B88C">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楷体_GB2312" w:hAnsi="楷体_GB2312" w:eastAsia="楷体_GB2312" w:cs="楷体_GB2312"/>
          <w:b w:val="0"/>
          <w:bCs w:val="0"/>
          <w:color w:val="auto"/>
          <w:kern w:val="0"/>
          <w:sz w:val="32"/>
          <w:szCs w:val="32"/>
          <w:lang w:val="en-US" w:eastAsia="zh-CN" w:bidi="ar"/>
        </w:rPr>
      </w:pPr>
      <w:r>
        <w:rPr>
          <w:rFonts w:hint="eastAsia" w:ascii="楷体_GB2312" w:hAnsi="楷体_GB2312" w:eastAsia="楷体_GB2312" w:cs="楷体_GB2312"/>
          <w:b w:val="0"/>
          <w:bCs w:val="0"/>
          <w:color w:val="auto"/>
          <w:sz w:val="32"/>
          <w:szCs w:val="32"/>
          <w:highlight w:val="none"/>
          <w:lang w:val="en-US" w:eastAsia="zh-CN"/>
        </w:rPr>
        <w:t>（</w:t>
      </w:r>
      <w:r>
        <w:rPr>
          <w:rFonts w:hint="eastAsia" w:ascii="楷体_GB2312" w:hAnsi="楷体_GB2312" w:eastAsia="楷体_GB2312" w:cs="楷体_GB2312"/>
          <w:b w:val="0"/>
          <w:bCs w:val="0"/>
          <w:color w:val="auto"/>
          <w:kern w:val="0"/>
          <w:sz w:val="32"/>
          <w:szCs w:val="32"/>
          <w:lang w:val="en-US" w:eastAsia="zh-CN" w:bidi="ar"/>
        </w:rPr>
        <w:t>二）人员要求</w:t>
      </w:r>
    </w:p>
    <w:p w14:paraId="310AC062">
      <w:pPr>
        <w:keepNext w:val="0"/>
        <w:keepLines w:val="0"/>
        <w:widowControl w:val="0"/>
        <w:suppressLineNumbers w:val="0"/>
        <w:autoSpaceDE w:val="0"/>
        <w:autoSpaceDN/>
        <w:spacing w:before="0" w:beforeAutospacing="0" w:after="0" w:afterAutospacing="0" w:line="560" w:lineRule="exact"/>
        <w:ind w:left="0" w:right="0" w:firstLine="640" w:firstLineChars="200"/>
        <w:jc w:val="lef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1.课程负责人须为我校正式聘用的教师，课程负责人和团队主要成员一般为近2年内讲授该课程教师，师德师风好，教学能力强，积极投入教学改革，每人作为课程负责人或团队主要成员只能参与1门课程申报。</w:t>
      </w:r>
      <w:r>
        <w:rPr>
          <w:rFonts w:hint="default" w:ascii="仿宋_GB2312" w:hAnsi="Calibri" w:eastAsia="仿宋_GB2312" w:cs="仿宋_GB2312"/>
          <w:kern w:val="2"/>
          <w:sz w:val="32"/>
          <w:szCs w:val="32"/>
          <w:highlight w:val="none"/>
          <w:lang w:val="en-US" w:eastAsia="zh-CN" w:bidi="ar"/>
          <w:woUserID w:val="1"/>
        </w:rPr>
        <w:t>已获校级及以上一流课程建设项目（含省课程思政示范课程建设项目）且未完成结题验收的教师原则上不得再次申报。</w:t>
      </w:r>
    </w:p>
    <w:p w14:paraId="2C03BF98">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2.参与申报课程的所有成员均须由其所在二级学院（或工作单位）党委或相当级别党组织就政治表现，师德师风，是否存在违法违纪、学术不端、教学事故等情况出具政治审查意见。</w:t>
      </w:r>
    </w:p>
    <w:p w14:paraId="2B2E690F">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关于人工智能课程申报说明，详见附件1-6。</w:t>
      </w:r>
    </w:p>
    <w:p w14:paraId="7B4747FD">
      <w:pPr>
        <w:keepNext w:val="0"/>
        <w:keepLines w:val="0"/>
        <w:pageBreakBefore w:val="0"/>
        <w:widowControl/>
        <w:numPr>
          <w:ilvl w:val="0"/>
          <w:numId w:val="1"/>
        </w:numPr>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cs="黑体"/>
          <w:b w:val="0"/>
          <w:bCs w:val="0"/>
          <w:color w:val="auto"/>
          <w:kern w:val="0"/>
          <w:sz w:val="32"/>
          <w:szCs w:val="32"/>
        </w:rPr>
      </w:pPr>
      <w:r>
        <w:rPr>
          <w:rFonts w:hint="eastAsia" w:ascii="黑体" w:hAnsi="黑体" w:eastAsia="黑体" w:cs="黑体"/>
          <w:b w:val="0"/>
          <w:bCs w:val="0"/>
          <w:color w:val="auto"/>
          <w:kern w:val="0"/>
          <w:sz w:val="32"/>
          <w:szCs w:val="32"/>
          <w:lang w:val="en-US" w:eastAsia="zh-CN"/>
        </w:rPr>
        <w:t>建设要求</w:t>
      </w:r>
    </w:p>
    <w:p w14:paraId="12DC8D13">
      <w:pPr>
        <w:keepNext w:val="0"/>
        <w:keepLines w:val="0"/>
        <w:pageBreakBefore w:val="0"/>
        <w:numPr>
          <w:ilvl w:val="0"/>
          <w:numId w:val="0"/>
        </w:numPr>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做好知识与资源关联。将课程已积累的视频资源、教材、课件、试题库、案例库、虚拟仿真实验等各类内外部教学资源结构化、碎片化关联至每个知识点，促进各类资源的高效应用，为学生提供个性化学习路径、资源推荐。构建课程内容所使用的教学资源知识产权清晰明确，不侵犯第三方权益，保证无政治性、科学性错误及违反国家法律法规问题。</w:t>
      </w:r>
    </w:p>
    <w:p w14:paraId="3020222B">
      <w:pPr>
        <w:keepNext w:val="0"/>
        <w:keepLines w:val="0"/>
        <w:pageBreakBefore w:val="0"/>
        <w:numPr>
          <w:ilvl w:val="0"/>
          <w:numId w:val="0"/>
        </w:numPr>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保证课程内容无政治性、科学性错误及违反国家法律法规的问题。重视版权和知识产权问题，构建课程内容所使用的图片、音视频等素材应注明出处。视频中使用的地图须符合《中华人民共和国测绘法》《地图管理条例》等法律法规。</w:t>
      </w:r>
    </w:p>
    <w:p w14:paraId="365FADCC">
      <w:pPr>
        <w:keepNext w:val="0"/>
        <w:keepLines w:val="0"/>
        <w:pageBreakBefore w:val="0"/>
        <w:numPr>
          <w:ilvl w:val="0"/>
          <w:numId w:val="0"/>
        </w:numPr>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课程需要建好课程知识图谱。根据专业培养目标和毕业要求支撑需要，对课程知识点进行全面梳理和系统整合，明确知识点之间的内在逻辑关系，以“知识地图”的形式直观地呈现整门课程的知识结构和分布，知识图谱中知识点数量在80个/门以上。通过信息技术手段对知识图谱进行管理，提供知识结构的可视化展示，帮助学习者构建系统化的知识体系。</w:t>
      </w:r>
    </w:p>
    <w:p w14:paraId="3B19C78B">
      <w:pPr>
        <w:keepNext w:val="0"/>
        <w:keepLines w:val="0"/>
        <w:widowControl w:val="0"/>
        <w:suppressLineNumbers w:val="0"/>
        <w:autoSpaceDE w:val="0"/>
        <w:autoSpaceDN/>
        <w:spacing w:before="0" w:beforeAutospacing="0" w:after="0" w:afterAutospacing="0" w:line="560" w:lineRule="exact"/>
        <w:ind w:left="0" w:right="0" w:firstLine="640" w:firstLineChars="200"/>
        <w:jc w:val="lef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4.课程须建设至少1学分16学时的线上课程，教学视频不少于240分钟，线上课程满足在线学习要求。1个视频针对</w:t>
      </w:r>
      <w:r>
        <w:rPr>
          <w:rFonts w:hint="default" w:ascii="仿宋_GB2312" w:hAnsi="仿宋_GB2312" w:eastAsia="仿宋_GB2312" w:cs="仿宋_GB2312"/>
          <w:color w:val="auto"/>
          <w:sz w:val="32"/>
          <w:szCs w:val="32"/>
          <w:highlight w:val="none"/>
          <w:lang w:eastAsia="zh-CN"/>
          <w:woUserID w:val="1"/>
        </w:rPr>
        <w:t>多</w:t>
      </w:r>
      <w:r>
        <w:rPr>
          <w:rFonts w:hint="eastAsia" w:ascii="仿宋_GB2312" w:hAnsi="仿宋_GB2312" w:eastAsia="仿宋_GB2312" w:cs="仿宋_GB2312"/>
          <w:color w:val="auto"/>
          <w:sz w:val="32"/>
          <w:szCs w:val="32"/>
          <w:highlight w:val="none"/>
          <w:lang w:val="en-US" w:eastAsia="zh-CN"/>
        </w:rPr>
        <w:t>个知识点，内容结构完整，每个视频以5-1</w:t>
      </w:r>
      <w:r>
        <w:rPr>
          <w:rFonts w:hint="eastAsia" w:ascii="仿宋_GB2312" w:hAnsi="仿宋_GB2312" w:eastAsia="仿宋_GB2312" w:cs="仿宋_GB2312"/>
          <w:color w:val="auto"/>
          <w:sz w:val="32"/>
          <w:szCs w:val="32"/>
          <w:highlight w:val="none"/>
          <w:lang w:val="en-US" w:eastAsia="zh-CN"/>
          <w:woUserID w:val="1"/>
        </w:rPr>
        <w:t>5</w:t>
      </w:r>
      <w:r>
        <w:rPr>
          <w:rFonts w:hint="eastAsia" w:ascii="仿宋_GB2312" w:hAnsi="仿宋_GB2312" w:eastAsia="仿宋_GB2312" w:cs="仿宋_GB2312"/>
          <w:color w:val="auto"/>
          <w:sz w:val="32"/>
          <w:szCs w:val="32"/>
          <w:highlight w:val="none"/>
          <w:lang w:val="en-US" w:eastAsia="zh-CN"/>
        </w:rPr>
        <w:t>分钟时长为宜；</w:t>
      </w:r>
      <w:r>
        <w:rPr>
          <w:rFonts w:hint="default" w:ascii="仿宋_GB2312" w:hAnsi="Calibri" w:eastAsia="仿宋_GB2312" w:cs="仿宋_GB2312"/>
          <w:kern w:val="2"/>
          <w:sz w:val="32"/>
          <w:szCs w:val="32"/>
          <w:highlight w:val="none"/>
          <w:lang w:val="en-US" w:eastAsia="zh-CN" w:bidi="ar"/>
          <w:woUserID w:val="1"/>
        </w:rPr>
        <w:t>课程视频需采用专业摄制标准制作，画面需满足运镜平稳、构图规范、镜头语言丰富、收音清晰无杂音等质量要求。课程在验收前上线国内在线开放课程平台全国共享运行。</w:t>
      </w:r>
    </w:p>
    <w:p w14:paraId="3CA09978">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课程需用好AI智慧教育工具。教师积极探索基于AI下的数智化教学应用、过程性数据观测，进行智能备课、辅助教学设计，开展个性化教学和创新性教学。引导学生积极探索基于AI智能搜索、AI智能问答等智慧工具的个性化学习路径，按需开展自主学习。鼓励师生联合探索“师-生-机”深度互动的协同教学模式，并形成智慧课程教学应用案例1～2个。</w:t>
      </w:r>
    </w:p>
    <w:p w14:paraId="69989049">
      <w:pPr>
        <w:keepNext w:val="0"/>
        <w:keepLines w:val="0"/>
        <w:pageBreakBefore w:val="0"/>
        <w:numPr>
          <w:ilvl w:val="0"/>
          <w:numId w:val="0"/>
        </w:numPr>
        <w:kinsoku/>
        <w:wordWrap/>
        <w:overflowPunct/>
        <w:topLinePunct w:val="0"/>
        <w:autoSpaceDE/>
        <w:autoSpaceDN/>
        <w:bidi w:val="0"/>
        <w:adjustRightInd/>
        <w:spacing w:line="560" w:lineRule="exact"/>
        <w:ind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6.人工智能通识课程面向所有专业学生开设，重点加强人工智能思维、基本方法、软件工具、产业应用和人工智能伦理教育，鼓励将人工智能软件和模型、科技前沿和产业发展最新成果纳入教学内容。</w:t>
      </w:r>
    </w:p>
    <w:p w14:paraId="40C411C9">
      <w:pPr>
        <w:keepNext w:val="0"/>
        <w:keepLines w:val="0"/>
        <w:widowControl/>
        <w:suppressLineNumbers w:val="0"/>
        <w:ind w:firstLine="640" w:firstLineChars="200"/>
        <w:jc w:val="left"/>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7.人工智能核心技术课程面向人工智能紧密型专业学生开设，重点培养学生的机器学习、计算机视觉、自然语言和机器人等专业核心技能。</w:t>
      </w:r>
    </w:p>
    <w:p w14:paraId="483A36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8.人工智能跨学科融合课程</w:t>
      </w: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面向相关专业学生开设，基于需求导向，通过智能制造、智慧医疗、数字金融、智慧农业等各行业领域场景的项目驱动式教学，提升学生在实际场景中的应用与创新能力。</w:t>
      </w:r>
    </w:p>
    <w:p w14:paraId="1270DC5F">
      <w:pPr>
        <w:keepNext w:val="0"/>
        <w:keepLines w:val="0"/>
        <w:pageBreakBefore w:val="0"/>
        <w:widowControl/>
        <w:numPr>
          <w:ilvl w:val="0"/>
          <w:numId w:val="1"/>
        </w:numPr>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cs="黑体"/>
          <w:b w:val="0"/>
          <w:bCs w:val="0"/>
          <w:color w:val="auto"/>
          <w:kern w:val="0"/>
          <w:sz w:val="32"/>
          <w:szCs w:val="32"/>
        </w:rPr>
      </w:pPr>
      <w:r>
        <w:rPr>
          <w:rFonts w:hint="eastAsia" w:ascii="黑体" w:hAnsi="黑体" w:eastAsia="黑体" w:cs="黑体"/>
          <w:b w:val="0"/>
          <w:bCs w:val="0"/>
          <w:color w:val="auto"/>
          <w:kern w:val="0"/>
          <w:sz w:val="32"/>
          <w:szCs w:val="32"/>
        </w:rPr>
        <w:t>经费支持</w:t>
      </w:r>
    </w:p>
    <w:p w14:paraId="4DAA1A08">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根据《湖州学院教学经费管理办法》智慧一流本科课程5万元的建设经费，建设经费划拨与使用按文件相关要求执行。</w:t>
      </w:r>
    </w:p>
    <w:p w14:paraId="56B124F2">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cs="黑体"/>
          <w:b w:val="0"/>
          <w:bCs w:val="0"/>
          <w:color w:val="auto"/>
          <w:kern w:val="0"/>
          <w:sz w:val="32"/>
          <w:szCs w:val="32"/>
        </w:rPr>
      </w:pPr>
      <w:r>
        <w:rPr>
          <w:rFonts w:hint="eastAsia" w:ascii="黑体" w:hAnsi="黑体" w:eastAsia="黑体" w:cs="黑体"/>
          <w:b w:val="0"/>
          <w:bCs w:val="0"/>
          <w:color w:val="auto"/>
          <w:kern w:val="0"/>
          <w:sz w:val="32"/>
          <w:szCs w:val="32"/>
          <w:lang w:val="en-US" w:eastAsia="zh-CN"/>
        </w:rPr>
        <w:t>五</w:t>
      </w:r>
      <w:r>
        <w:rPr>
          <w:rFonts w:hint="eastAsia" w:ascii="黑体" w:hAnsi="黑体" w:eastAsia="黑体" w:cs="黑体"/>
          <w:b w:val="0"/>
          <w:bCs w:val="0"/>
          <w:color w:val="auto"/>
          <w:kern w:val="0"/>
          <w:sz w:val="32"/>
          <w:szCs w:val="32"/>
        </w:rPr>
        <w:t>、项目管理</w:t>
      </w:r>
    </w:p>
    <w:p w14:paraId="4B12CEB5">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1.项目建设周期2年。课程原则上应于2027年6月之前应用于本校课程，并且知识图谱中知识点数量达到80个以上，专业拍摄的教学视频不少于240分钟。</w:t>
      </w:r>
    </w:p>
    <w:p w14:paraId="7A47DCED">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2.为确保课程建设项目按时保质完成，学校将统一组织课程建设项目的中期检查、结题验收工作。</w:t>
      </w:r>
    </w:p>
    <w:p w14:paraId="73175753">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3.校级及以上各类课程建设项目要求在学校泛雅平台（或智慧树等其他平台）上建课，平台建课情况将作为中期检查、结题验收的重要依据。</w:t>
      </w:r>
    </w:p>
    <w:p w14:paraId="2473DBD9">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（1）泛雅平台：</w:t>
      </w:r>
      <w:r>
        <w:rPr>
          <w:rFonts w:hint="eastAsia" w:ascii="仿宋_GB2312" w:hAnsi="仿宋_GB2312" w:eastAsia="仿宋_GB2312" w:cs="仿宋_GB2312"/>
          <w:color w:val="auto"/>
          <w:sz w:val="32"/>
          <w:szCs w:val="32"/>
          <w:highlight w:val="none"/>
          <w:lang w:val="en-US" w:eastAsia="zh-CN"/>
        </w:rPr>
        <w:fldChar w:fldCharType="begin"/>
      </w:r>
      <w:r>
        <w:rPr>
          <w:rFonts w:hint="eastAsia" w:ascii="仿宋_GB2312" w:hAnsi="仿宋_GB2312" w:eastAsia="仿宋_GB2312" w:cs="仿宋_GB2312"/>
          <w:color w:val="auto"/>
          <w:sz w:val="32"/>
          <w:szCs w:val="32"/>
          <w:highlight w:val="none"/>
          <w:lang w:val="en-US" w:eastAsia="zh-CN"/>
        </w:rPr>
        <w:instrText xml:space="preserve"> HYPERLINK "https://hzxy.mh.chaoxing.com/，登录账号为工号，密码默认为s654321s；" </w:instrText>
      </w:r>
      <w:r>
        <w:rPr>
          <w:rFonts w:hint="eastAsia" w:ascii="仿宋_GB2312" w:hAnsi="仿宋_GB2312" w:eastAsia="仿宋_GB2312" w:cs="仿宋_GB2312"/>
          <w:color w:val="auto"/>
          <w:sz w:val="32"/>
          <w:szCs w:val="32"/>
          <w:highlight w:val="none"/>
          <w:lang w:val="en-US" w:eastAsia="zh-CN"/>
        </w:rPr>
        <w:fldChar w:fldCharType="separate"/>
      </w:r>
      <w:r>
        <w:rPr>
          <w:rFonts w:hint="eastAsia" w:ascii="仿宋_GB2312" w:hAnsi="仿宋_GB2312" w:eastAsia="仿宋_GB2312" w:cs="仿宋_GB2312"/>
          <w:color w:val="auto"/>
          <w:sz w:val="32"/>
          <w:szCs w:val="32"/>
          <w:highlight w:val="none"/>
          <w:lang w:val="en-US" w:eastAsia="zh-CN"/>
        </w:rPr>
        <w:t>https://hzxy.mh.chaoxing.com/，登录账号为工号，密码默认为s654321s；</w:t>
      </w:r>
      <w:r>
        <w:rPr>
          <w:rFonts w:hint="eastAsia" w:ascii="仿宋_GB2312" w:hAnsi="仿宋_GB2312" w:eastAsia="仿宋_GB2312" w:cs="仿宋_GB2312"/>
          <w:color w:val="auto"/>
          <w:sz w:val="32"/>
          <w:szCs w:val="32"/>
          <w:highlight w:val="none"/>
          <w:lang w:val="en-US" w:eastAsia="zh-CN"/>
        </w:rPr>
        <w:fldChar w:fldCharType="end"/>
      </w:r>
    </w:p>
    <w:p w14:paraId="6CAED029">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（2）智慧树平台：www.zhihuishu.com 教师可自行注册，操作方法见http://doc.livecourse.com/thelp。</w:t>
      </w:r>
    </w:p>
    <w:p w14:paraId="6A1FA2FB">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default" w:ascii="黑体" w:hAnsi="黑体" w:eastAsia="黑体" w:cs="黑体"/>
          <w:b w:val="0"/>
          <w:bCs w:val="0"/>
          <w:color w:val="auto"/>
          <w:kern w:val="0"/>
          <w:sz w:val="32"/>
          <w:szCs w:val="32"/>
          <w:lang w:val="en-US" w:eastAsia="zh-CN"/>
        </w:rPr>
      </w:pPr>
      <w:r>
        <w:rPr>
          <w:rFonts w:hint="eastAsia" w:ascii="黑体" w:hAnsi="黑体" w:eastAsia="黑体" w:cs="黑体"/>
          <w:b w:val="0"/>
          <w:bCs w:val="0"/>
          <w:color w:val="auto"/>
          <w:kern w:val="0"/>
          <w:sz w:val="32"/>
          <w:szCs w:val="32"/>
          <w:lang w:val="en-US" w:eastAsia="zh-CN"/>
        </w:rPr>
        <w:t>六、工作程序与材料递交</w:t>
      </w:r>
    </w:p>
    <w:p w14:paraId="72D06DE0">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1.个人系统申报。凡符合申报条件的课程负责人</w:t>
      </w:r>
      <w:r>
        <w:rPr>
          <w:rFonts w:hint="eastAsia" w:ascii="Times New Roman" w:hAnsi="Times New Roman" w:eastAsia="仿宋_GB2312" w:cs="Times New Roman"/>
          <w:kern w:val="2"/>
          <w:sz w:val="32"/>
          <w:szCs w:val="32"/>
          <w:highlight w:val="none"/>
          <w:lang w:val="en-US" w:eastAsia="zh-CN" w:bidi="ar"/>
        </w:rPr>
        <w:t>登录教学建设系统，</w:t>
      </w:r>
      <w:r>
        <w:rPr>
          <w:rFonts w:hint="eastAsia" w:ascii="仿宋_GB2312" w:hAnsi="仿宋_GB2312" w:eastAsia="仿宋_GB2312" w:cs="仿宋_GB2312"/>
          <w:color w:val="auto"/>
          <w:sz w:val="32"/>
          <w:szCs w:val="32"/>
          <w:highlight w:val="none"/>
          <w:lang w:val="en-US" w:eastAsia="zh-CN"/>
        </w:rPr>
        <w:t>填报课程申报书（附件1），并提供最近一学期的课程教学大纲。</w:t>
      </w:r>
    </w:p>
    <w:p w14:paraId="5FDD339F">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b w:val="0"/>
          <w:bCs/>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2.二级学院（部门）统筹做好申报工作，对申报材料进行汇总，并在系统内完成申报材料审核（审核时需全面检查材料内容，特别注意核对项目负责人提供的课程链接是否正确）。以二级学院（部门）为单位，于6月30日16:00前将加盖公章的纸质版课程申报书、教学大纲、</w:t>
      </w:r>
      <w:r>
        <w:rPr>
          <w:rFonts w:hint="eastAsia" w:ascii="仿宋_GB2312" w:hAnsi="仿宋_GB2312" w:eastAsia="仿宋_GB2312" w:cs="仿宋_GB2312"/>
          <w:color w:val="auto"/>
          <w:kern w:val="0"/>
          <w:sz w:val="32"/>
          <w:szCs w:val="32"/>
          <w:lang w:val="en-US" w:eastAsia="zh-CN"/>
        </w:rPr>
        <w:t>汇总表</w:t>
      </w:r>
      <w:r>
        <w:rPr>
          <w:rFonts w:hint="eastAsia" w:ascii="仿宋_GB2312" w:hAnsi="仿宋_GB2312" w:eastAsia="仿宋_GB2312" w:cs="仿宋_GB2312"/>
          <w:color w:val="auto"/>
          <w:sz w:val="32"/>
          <w:szCs w:val="32"/>
          <w:highlight w:val="none"/>
          <w:lang w:val="en-US" w:eastAsia="zh-CN"/>
        </w:rPr>
        <w:t>，纸质版一式一份递交。</w:t>
      </w:r>
    </w:p>
    <w:p w14:paraId="3CC0FE3C">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3.教务处对申报材料初审后，组织专家进行评审。评审结果经教务处审核、校教学委员会审议、校长办公会审定、公示无误后发文公布。</w:t>
      </w:r>
    </w:p>
    <w:p w14:paraId="62741239">
      <w:pPr>
        <w:keepNext w:val="0"/>
        <w:keepLines w:val="0"/>
        <w:widowControl/>
        <w:suppressLineNumbers w:val="0"/>
        <w:spacing w:before="0" w:beforeAutospacing="0" w:after="0" w:afterAutospacing="0"/>
        <w:ind w:left="0" w:right="0" w:firstLine="620" w:firstLineChars="200"/>
        <w:jc w:val="left"/>
        <w:rPr>
          <w:rFonts w:hint="default" w:ascii="仿宋_GB2312" w:hAnsi="宋体" w:eastAsia="仿宋_GB2312" w:cs="仿宋_GB2312"/>
          <w:color w:val="000000"/>
          <w:kern w:val="0"/>
          <w:sz w:val="31"/>
          <w:szCs w:val="31"/>
          <w:woUserID w:val="1"/>
        </w:rPr>
      </w:pPr>
      <w:r>
        <w:rPr>
          <w:rFonts w:hint="default" w:ascii="仿宋_GB2312" w:hAnsi="宋体" w:eastAsia="仿宋_GB2312" w:cs="仿宋_GB2312"/>
          <w:color w:val="000000"/>
          <w:kern w:val="0"/>
          <w:sz w:val="31"/>
          <w:szCs w:val="31"/>
          <w:lang w:val="en-US" w:eastAsia="zh-CN" w:bidi="ar"/>
          <w:woUserID w:val="1"/>
        </w:rPr>
        <w:t>教务处联系人：阳利</w:t>
      </w:r>
      <w:r>
        <w:rPr>
          <w:rFonts w:hint="default" w:ascii="仿宋_GB2312" w:hAnsi="宋体" w:eastAsia="仿宋_GB2312" w:cs="仿宋_GB2312"/>
          <w:color w:val="000000"/>
          <w:kern w:val="0"/>
          <w:sz w:val="31"/>
          <w:szCs w:val="31"/>
          <w:lang w:eastAsia="zh-CN" w:bidi="ar"/>
          <w:woUserID w:val="1"/>
        </w:rPr>
        <w:t>,</w:t>
      </w:r>
      <w:r>
        <w:rPr>
          <w:rFonts w:hint="default" w:ascii="仿宋_GB2312" w:hAnsi="宋体" w:eastAsia="仿宋_GB2312" w:cs="仿宋_GB2312"/>
          <w:color w:val="000000"/>
          <w:kern w:val="0"/>
          <w:sz w:val="31"/>
          <w:szCs w:val="31"/>
          <w:lang w:val="en-US" w:eastAsia="zh-CN" w:bidi="ar"/>
          <w:woUserID w:val="1"/>
        </w:rPr>
        <w:t>电话：2111787，行政楼210室，邮箱：</w:t>
      </w:r>
      <w:r>
        <w:rPr>
          <w:rFonts w:hint="default" w:ascii="Calibri" w:hAnsi="Calibri" w:eastAsia="宋体" w:cs="Times New Roman"/>
          <w:kern w:val="2"/>
          <w:sz w:val="21"/>
          <w:szCs w:val="21"/>
          <w:lang w:val="en-US" w:eastAsia="zh-CN" w:bidi="ar"/>
          <w:woUserID w:val="1"/>
        </w:rPr>
        <w:fldChar w:fldCharType="begin"/>
      </w:r>
      <w:r>
        <w:rPr>
          <w:rFonts w:hint="default" w:ascii="Calibri" w:hAnsi="Calibri" w:eastAsia="宋体" w:cs="Times New Roman"/>
          <w:kern w:val="2"/>
          <w:sz w:val="21"/>
          <w:szCs w:val="21"/>
          <w:lang w:val="en-US" w:eastAsia="zh-CN" w:bidi="ar"/>
          <w:woUserID w:val="1"/>
        </w:rPr>
        <w:instrText xml:space="preserve"> HYPERLINK "mailto:baoshuyan@zjhzu.edu.cn%E3%80%82" </w:instrText>
      </w:r>
      <w:r>
        <w:rPr>
          <w:rFonts w:hint="default" w:ascii="Calibri" w:hAnsi="Calibri" w:eastAsia="宋体" w:cs="Times New Roman"/>
          <w:kern w:val="2"/>
          <w:sz w:val="21"/>
          <w:szCs w:val="21"/>
          <w:lang w:val="en-US" w:eastAsia="zh-CN" w:bidi="ar"/>
          <w:woUserID w:val="1"/>
        </w:rPr>
        <w:fldChar w:fldCharType="separate"/>
      </w:r>
      <w:r>
        <w:rPr>
          <w:rStyle w:val="13"/>
          <w:rFonts w:hint="default" w:ascii="仿宋_GB2312" w:hAnsi="宋体" w:eastAsia="仿宋_GB2312" w:cs="仿宋_GB2312"/>
          <w:color w:val="000000"/>
          <w:kern w:val="0"/>
          <w:sz w:val="31"/>
          <w:szCs w:val="31"/>
          <w:woUserID w:val="1"/>
        </w:rPr>
        <w:t>yangli@zjhzu.edu.cn</w:t>
      </w:r>
      <w:r>
        <w:rPr>
          <w:rFonts w:hint="default" w:ascii="Calibri" w:hAnsi="Calibri" w:eastAsia="宋体" w:cs="Times New Roman"/>
          <w:kern w:val="2"/>
          <w:sz w:val="21"/>
          <w:szCs w:val="21"/>
          <w:lang w:val="en-US" w:eastAsia="zh-CN" w:bidi="ar"/>
          <w:woUserID w:val="1"/>
        </w:rPr>
        <w:fldChar w:fldCharType="end"/>
      </w:r>
      <w:r>
        <w:rPr>
          <w:rFonts w:hint="default" w:ascii="仿宋_GB2312" w:hAnsi="宋体" w:eastAsia="仿宋_GB2312" w:cs="仿宋_GB2312"/>
          <w:color w:val="000000"/>
          <w:kern w:val="0"/>
          <w:sz w:val="31"/>
          <w:szCs w:val="31"/>
          <w:lang w:val="en-US" w:eastAsia="zh-CN" w:bidi="ar"/>
          <w:woUserID w:val="1"/>
        </w:rPr>
        <w:t>。</w:t>
      </w:r>
    </w:p>
    <w:p w14:paraId="63F38A94">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p>
    <w:p w14:paraId="3D3903A2">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default" w:ascii="仿宋_GB2312" w:hAnsi="仿宋_GB2312" w:eastAsia="仿宋_GB2312" w:cs="仿宋_GB2312"/>
          <w:color w:val="auto"/>
          <w:kern w:val="0"/>
          <w:sz w:val="32"/>
          <w:szCs w:val="32"/>
          <w:highlight w:val="none"/>
          <w:lang w:eastAsia="zh-CN"/>
          <w:woUserID w:val="1"/>
        </w:rPr>
      </w:pPr>
      <w:r>
        <w:rPr>
          <w:rFonts w:hint="eastAsia" w:ascii="仿宋_GB2312" w:hAnsi="仿宋_GB2312" w:eastAsia="仿宋_GB2312" w:cs="仿宋_GB2312"/>
          <w:color w:val="auto"/>
          <w:kern w:val="0"/>
          <w:sz w:val="32"/>
          <w:szCs w:val="32"/>
        </w:rPr>
        <w:t>附件：</w:t>
      </w:r>
      <w:r>
        <w:rPr>
          <w:rFonts w:hint="default" w:ascii="仿宋_GB2312" w:hAnsi="仿宋_GB2312" w:eastAsia="仿宋_GB2312" w:cs="仿宋_GB2312"/>
          <w:color w:val="auto"/>
          <w:kern w:val="0"/>
          <w:sz w:val="32"/>
          <w:szCs w:val="32"/>
          <w:highlight w:val="none"/>
          <w:woUserID w:val="1"/>
        </w:rPr>
        <w:t>1-1.</w:t>
      </w:r>
      <w:r>
        <w:rPr>
          <w:rFonts w:hint="default" w:ascii="仿宋_GB2312" w:hAnsi="仿宋_GB2312" w:eastAsia="仿宋_GB2312" w:cs="仿宋_GB2312"/>
          <w:color w:val="auto"/>
          <w:kern w:val="0"/>
          <w:sz w:val="32"/>
          <w:szCs w:val="32"/>
          <w:highlight w:val="none"/>
          <w:lang w:eastAsia="zh-CN"/>
          <w:woUserID w:val="1"/>
        </w:rPr>
        <w:t>湖州学院智慧课程申报书（产教融合）</w:t>
      </w:r>
    </w:p>
    <w:p w14:paraId="5813A3D5">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left="1440" w:leftChars="0"/>
        <w:textAlignment w:val="auto"/>
        <w:rPr>
          <w:rFonts w:hint="default" w:ascii="仿宋_GB2312" w:hAnsi="仿宋_GB2312" w:eastAsia="仿宋_GB2312" w:cs="仿宋_GB2312"/>
          <w:color w:val="auto"/>
          <w:kern w:val="0"/>
          <w:sz w:val="32"/>
          <w:szCs w:val="32"/>
          <w:highlight w:val="none"/>
          <w:lang w:eastAsia="zh-CN"/>
          <w:woUserID w:val="1"/>
        </w:rPr>
      </w:pPr>
      <w:r>
        <w:rPr>
          <w:rFonts w:hint="default" w:ascii="仿宋_GB2312" w:hAnsi="仿宋_GB2312" w:eastAsia="仿宋_GB2312" w:cs="仿宋_GB2312"/>
          <w:color w:val="auto"/>
          <w:kern w:val="0"/>
          <w:sz w:val="32"/>
          <w:szCs w:val="32"/>
          <w:highlight w:val="none"/>
          <w:lang w:eastAsia="zh-CN"/>
          <w:woUserID w:val="1"/>
        </w:rPr>
        <w:t xml:space="preserve"> 1-2.湖州学院智慧课程申报书（课程思政示范课） </w:t>
      </w:r>
    </w:p>
    <w:p w14:paraId="6785D33D">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left="1440" w:leftChars="0"/>
        <w:textAlignment w:val="auto"/>
        <w:rPr>
          <w:rFonts w:hint="default" w:ascii="仿宋_GB2312" w:hAnsi="仿宋_GB2312" w:eastAsia="仿宋_GB2312" w:cs="仿宋_GB2312"/>
          <w:color w:val="auto"/>
          <w:kern w:val="0"/>
          <w:sz w:val="32"/>
          <w:szCs w:val="32"/>
          <w:highlight w:val="none"/>
          <w:lang w:eastAsia="zh-CN"/>
          <w:woUserID w:val="1"/>
        </w:rPr>
      </w:pPr>
      <w:r>
        <w:rPr>
          <w:rFonts w:hint="default" w:ascii="仿宋_GB2312" w:hAnsi="仿宋_GB2312" w:eastAsia="仿宋_GB2312" w:cs="仿宋_GB2312"/>
          <w:color w:val="auto"/>
          <w:kern w:val="0"/>
          <w:sz w:val="32"/>
          <w:szCs w:val="32"/>
          <w:highlight w:val="none"/>
          <w:lang w:eastAsia="zh-CN"/>
          <w:woUserID w:val="1"/>
        </w:rPr>
        <w:t xml:space="preserve"> 1-3.湖州学院智慧课程申报书（“两山”理念专项）</w:t>
      </w:r>
    </w:p>
    <w:p w14:paraId="2C8397E0">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firstLine="1600" w:firstLineChars="500"/>
        <w:textAlignment w:val="auto"/>
        <w:rPr>
          <w:rFonts w:hint="default" w:ascii="仿宋_GB2312" w:hAnsi="仿宋_GB2312" w:eastAsia="仿宋_GB2312" w:cs="仿宋_GB2312"/>
          <w:color w:val="auto"/>
          <w:kern w:val="0"/>
          <w:sz w:val="32"/>
          <w:szCs w:val="32"/>
          <w:highlight w:val="none"/>
          <w:lang w:eastAsia="zh-CN"/>
          <w:woUserID w:val="1"/>
        </w:rPr>
      </w:pPr>
      <w:r>
        <w:rPr>
          <w:rFonts w:hint="default" w:ascii="仿宋_GB2312" w:hAnsi="仿宋_GB2312" w:eastAsia="仿宋_GB2312" w:cs="仿宋_GB2312"/>
          <w:color w:val="auto"/>
          <w:kern w:val="0"/>
          <w:sz w:val="32"/>
          <w:szCs w:val="32"/>
          <w:highlight w:val="none"/>
          <w:lang w:eastAsia="zh-CN"/>
          <w:woUserID w:val="1"/>
        </w:rPr>
        <w:t>1-</w:t>
      </w:r>
      <w:r>
        <w:rPr>
          <w:rFonts w:hint="eastAsia" w:ascii="仿宋_GB2312" w:hAnsi="仿宋_GB2312" w:eastAsia="仿宋_GB2312" w:cs="仿宋_GB2312"/>
          <w:color w:val="auto"/>
          <w:kern w:val="0"/>
          <w:sz w:val="32"/>
          <w:szCs w:val="32"/>
          <w:highlight w:val="none"/>
          <w:lang w:val="en-US" w:eastAsia="zh-CN"/>
          <w:woUserID w:val="1"/>
        </w:rPr>
        <w:t>4</w:t>
      </w:r>
      <w:r>
        <w:rPr>
          <w:rFonts w:hint="default" w:ascii="仿宋_GB2312" w:hAnsi="仿宋_GB2312" w:eastAsia="仿宋_GB2312" w:cs="仿宋_GB2312"/>
          <w:color w:val="auto"/>
          <w:kern w:val="0"/>
          <w:sz w:val="32"/>
          <w:szCs w:val="32"/>
          <w:highlight w:val="none"/>
          <w:lang w:eastAsia="zh-CN"/>
          <w:woUserID w:val="1"/>
        </w:rPr>
        <w:t>.湖州学院智慧课程申报书（</w:t>
      </w:r>
      <w:r>
        <w:rPr>
          <w:rFonts w:hint="default" w:ascii="仿宋_GB2312" w:hAnsi="仿宋_GB2312" w:eastAsia="仿宋_GB2312" w:cs="仿宋_GB2312"/>
          <w:color w:val="auto"/>
          <w:kern w:val="0"/>
          <w:sz w:val="32"/>
          <w:szCs w:val="32"/>
          <w:highlight w:val="none"/>
          <w:lang w:val="en-US" w:eastAsia="zh-CN"/>
          <w:woUserID w:val="1"/>
        </w:rPr>
        <w:t>“</w:t>
      </w:r>
      <w:r>
        <w:rPr>
          <w:rFonts w:hint="eastAsia" w:ascii="仿宋_GB2312" w:hAnsi="仿宋_GB2312" w:eastAsia="仿宋_GB2312" w:cs="仿宋_GB2312"/>
          <w:color w:val="auto"/>
          <w:kern w:val="0"/>
          <w:sz w:val="32"/>
          <w:szCs w:val="32"/>
          <w:highlight w:val="none"/>
          <w:lang w:val="en-US" w:eastAsia="zh-CN"/>
          <w:woUserID w:val="1"/>
        </w:rPr>
        <w:t>湖学</w:t>
      </w:r>
      <w:r>
        <w:rPr>
          <w:rFonts w:hint="default" w:ascii="仿宋_GB2312" w:hAnsi="仿宋_GB2312" w:eastAsia="仿宋_GB2312" w:cs="仿宋_GB2312"/>
          <w:color w:val="auto"/>
          <w:kern w:val="0"/>
          <w:sz w:val="32"/>
          <w:szCs w:val="32"/>
          <w:highlight w:val="none"/>
          <w:lang w:val="en-US" w:eastAsia="zh-CN"/>
          <w:woUserID w:val="1"/>
        </w:rPr>
        <w:t>”专项</w:t>
      </w:r>
      <w:r>
        <w:rPr>
          <w:rFonts w:hint="default" w:ascii="仿宋_GB2312" w:hAnsi="仿宋_GB2312" w:eastAsia="仿宋_GB2312" w:cs="仿宋_GB2312"/>
          <w:color w:val="auto"/>
          <w:kern w:val="0"/>
          <w:sz w:val="32"/>
          <w:szCs w:val="32"/>
          <w:highlight w:val="none"/>
          <w:lang w:eastAsia="zh-CN"/>
          <w:woUserID w:val="1"/>
        </w:rPr>
        <w:t>）</w:t>
      </w:r>
    </w:p>
    <w:p w14:paraId="61AA5096">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left="1440" w:leftChars="0"/>
        <w:textAlignment w:val="auto"/>
        <w:rPr>
          <w:rFonts w:hint="default" w:ascii="仿宋_GB2312" w:hAnsi="仿宋_GB2312" w:eastAsia="仿宋_GB2312" w:cs="仿宋_GB2312"/>
          <w:color w:val="auto"/>
          <w:kern w:val="0"/>
          <w:sz w:val="32"/>
          <w:szCs w:val="32"/>
          <w:highlight w:val="none"/>
          <w:lang w:eastAsia="zh-CN"/>
          <w:woUserID w:val="1"/>
        </w:rPr>
      </w:pPr>
      <w:r>
        <w:rPr>
          <w:rFonts w:hint="default" w:ascii="仿宋_GB2312" w:hAnsi="仿宋_GB2312" w:eastAsia="仿宋_GB2312" w:cs="仿宋_GB2312"/>
          <w:color w:val="auto"/>
          <w:kern w:val="0"/>
          <w:sz w:val="32"/>
          <w:szCs w:val="32"/>
          <w:highlight w:val="none"/>
          <w:lang w:eastAsia="zh-CN"/>
          <w:woUserID w:val="1"/>
        </w:rPr>
        <w:t xml:space="preserve"> 1-</w:t>
      </w:r>
      <w:r>
        <w:rPr>
          <w:rFonts w:hint="eastAsia" w:ascii="仿宋_GB2312" w:hAnsi="仿宋_GB2312" w:eastAsia="仿宋_GB2312" w:cs="仿宋_GB2312"/>
          <w:color w:val="auto"/>
          <w:kern w:val="0"/>
          <w:sz w:val="32"/>
          <w:szCs w:val="32"/>
          <w:highlight w:val="none"/>
          <w:lang w:val="en-US" w:eastAsia="zh-CN"/>
          <w:woUserID w:val="1"/>
        </w:rPr>
        <w:t>5</w:t>
      </w:r>
      <w:r>
        <w:rPr>
          <w:rFonts w:hint="default" w:ascii="仿宋_GB2312" w:hAnsi="仿宋_GB2312" w:eastAsia="仿宋_GB2312" w:cs="仿宋_GB2312"/>
          <w:color w:val="auto"/>
          <w:kern w:val="0"/>
          <w:sz w:val="32"/>
          <w:szCs w:val="32"/>
          <w:highlight w:val="none"/>
          <w:lang w:eastAsia="zh-CN"/>
          <w:woUserID w:val="1"/>
        </w:rPr>
        <w:t>.湖州学院智慧课程申报书（人工智能）</w:t>
      </w:r>
    </w:p>
    <w:p w14:paraId="1DE12122">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left="1440" w:leftChars="0"/>
        <w:textAlignment w:val="auto"/>
        <w:rPr>
          <w:rFonts w:hint="default" w:ascii="仿宋_GB2312" w:hAnsi="仿宋_GB2312" w:eastAsia="仿宋_GB2312" w:cs="仿宋_GB2312"/>
          <w:color w:val="auto"/>
          <w:kern w:val="0"/>
          <w:sz w:val="32"/>
          <w:szCs w:val="32"/>
          <w:highlight w:val="none"/>
          <w:lang w:eastAsia="zh-CN"/>
          <w:woUserID w:val="1"/>
        </w:rPr>
      </w:pPr>
      <w:r>
        <w:rPr>
          <w:rFonts w:hint="default" w:ascii="仿宋_GB2312" w:hAnsi="仿宋_GB2312" w:eastAsia="仿宋_GB2312" w:cs="仿宋_GB2312"/>
          <w:color w:val="auto"/>
          <w:kern w:val="0"/>
          <w:sz w:val="32"/>
          <w:szCs w:val="32"/>
          <w:highlight w:val="none"/>
          <w:lang w:eastAsia="zh-CN"/>
          <w:woUserID w:val="1"/>
        </w:rPr>
        <w:t xml:space="preserve"> 1-</w:t>
      </w:r>
      <w:r>
        <w:rPr>
          <w:rFonts w:hint="eastAsia" w:ascii="仿宋_GB2312" w:hAnsi="仿宋_GB2312" w:eastAsia="仿宋_GB2312" w:cs="仿宋_GB2312"/>
          <w:color w:val="auto"/>
          <w:kern w:val="0"/>
          <w:sz w:val="32"/>
          <w:szCs w:val="32"/>
          <w:highlight w:val="none"/>
          <w:lang w:val="en-US" w:eastAsia="zh-CN"/>
          <w:woUserID w:val="1"/>
        </w:rPr>
        <w:t>6</w:t>
      </w:r>
      <w:r>
        <w:rPr>
          <w:rFonts w:hint="default" w:ascii="仿宋_GB2312" w:hAnsi="仿宋_GB2312" w:eastAsia="仿宋_GB2312" w:cs="仿宋_GB2312"/>
          <w:color w:val="auto"/>
          <w:kern w:val="0"/>
          <w:sz w:val="32"/>
          <w:szCs w:val="32"/>
          <w:highlight w:val="none"/>
          <w:lang w:eastAsia="zh-CN"/>
          <w:woUserID w:val="1"/>
        </w:rPr>
        <w:t>.人工</w:t>
      </w:r>
      <w:bookmarkStart w:id="0" w:name="_GoBack"/>
      <w:bookmarkEnd w:id="0"/>
      <w:r>
        <w:rPr>
          <w:rFonts w:hint="default" w:ascii="仿宋_GB2312" w:hAnsi="仿宋_GB2312" w:eastAsia="仿宋_GB2312" w:cs="仿宋_GB2312"/>
          <w:color w:val="auto"/>
          <w:kern w:val="0"/>
          <w:sz w:val="32"/>
          <w:szCs w:val="32"/>
          <w:highlight w:val="none"/>
          <w:lang w:eastAsia="zh-CN"/>
          <w:woUserID w:val="1"/>
        </w:rPr>
        <w:t xml:space="preserve">智能课程申报说明 </w:t>
      </w:r>
    </w:p>
    <w:p w14:paraId="3EDA9353">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kern w:val="0"/>
          <w:sz w:val="32"/>
          <w:szCs w:val="32"/>
        </w:rPr>
      </w:pPr>
      <w:r>
        <w:rPr>
          <w:rFonts w:hint="default" w:ascii="仿宋_GB2312" w:hAnsi="仿宋_GB2312" w:eastAsia="仿宋_GB2312" w:cs="仿宋_GB2312"/>
          <w:color w:val="auto"/>
          <w:kern w:val="0"/>
          <w:sz w:val="32"/>
          <w:szCs w:val="32"/>
          <w:lang w:eastAsia="zh-CN"/>
          <w:woUserID w:val="1"/>
        </w:rPr>
        <w:t xml:space="preserve">      </w:t>
      </w:r>
      <w:r>
        <w:rPr>
          <w:rFonts w:hint="eastAsia" w:ascii="仿宋_GB2312" w:hAnsi="仿宋_GB2312" w:eastAsia="仿宋_GB2312" w:cs="仿宋_GB2312"/>
          <w:color w:val="auto"/>
          <w:kern w:val="0"/>
          <w:sz w:val="32"/>
          <w:szCs w:val="32"/>
          <w:lang w:val="en-US" w:eastAsia="zh-CN"/>
        </w:rPr>
        <w:t>2.2026年度湖州学院智慧课程建设项目申报汇总表</w:t>
      </w:r>
    </w:p>
    <w:p w14:paraId="7409C65B">
      <w:pPr>
        <w:keepNext w:val="0"/>
        <w:keepLines w:val="0"/>
        <w:pageBreakBefore w:val="0"/>
        <w:widowControl/>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color w:val="auto"/>
          <w:kern w:val="0"/>
          <w:sz w:val="32"/>
          <w:szCs w:val="32"/>
        </w:rPr>
      </w:pPr>
    </w:p>
    <w:p w14:paraId="16304524">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                                                </w:t>
      </w:r>
    </w:p>
    <w:p w14:paraId="28F3245B">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righ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湖州学院</w:t>
      </w:r>
      <w:r>
        <w:rPr>
          <w:rFonts w:hint="eastAsia" w:ascii="仿宋_GB2312" w:hAnsi="仿宋_GB2312" w:eastAsia="仿宋_GB2312" w:cs="仿宋_GB2312"/>
          <w:color w:val="auto"/>
          <w:kern w:val="0"/>
          <w:sz w:val="32"/>
          <w:szCs w:val="32"/>
        </w:rPr>
        <w:t>教务处</w:t>
      </w:r>
    </w:p>
    <w:p w14:paraId="5D3CA562">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righ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202</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rPr>
        <w:t>年</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lang w:val="en-US" w:eastAsia="zh-CN"/>
          <w:woUserID w:val="1"/>
        </w:rPr>
        <w:t>8</w:t>
      </w:r>
      <w:r>
        <w:rPr>
          <w:rFonts w:hint="eastAsia" w:ascii="仿宋_GB2312" w:hAnsi="仿宋_GB2312" w:eastAsia="仿宋_GB2312" w:cs="仿宋_GB2312"/>
          <w:color w:val="auto"/>
          <w:kern w:val="0"/>
          <w:sz w:val="32"/>
          <w:szCs w:val="32"/>
        </w:rPr>
        <w:t>日</w:t>
      </w:r>
    </w:p>
    <w:sectPr>
      <w:footerReference r:id="rId3" w:type="default"/>
      <w:pgSz w:w="11906" w:h="16838"/>
      <w:pgMar w:top="1928" w:right="1417" w:bottom="198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2020B">
    <w:pPr>
      <w:spacing w:before="1" w:line="178" w:lineRule="auto"/>
      <w:ind w:left="3886"/>
      <w:rPr>
        <w:rFonts w:ascii="Times New Roman" w:hAnsi="Times New Roman" w:eastAsia="Times New Roman" w:cs="Times New Roman"/>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113719">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113719">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4B60F1"/>
    <w:multiLevelType w:val="singleLevel"/>
    <w:tmpl w:val="D34B60F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1YzU4MzJmZjdjYzliYTRhYzNjYWNiMTBhYWM4NTAifQ=="/>
    <w:docVar w:name="KSO_WPS_MARK_KEY" w:val="d800988c-95dd-402b-b5cd-41e3563478dd"/>
  </w:docVars>
  <w:rsids>
    <w:rsidRoot w:val="00E06DBF"/>
    <w:rsid w:val="000310AC"/>
    <w:rsid w:val="000731EB"/>
    <w:rsid w:val="000D5ABC"/>
    <w:rsid w:val="00173993"/>
    <w:rsid w:val="001844A2"/>
    <w:rsid w:val="00256D1C"/>
    <w:rsid w:val="00283FCC"/>
    <w:rsid w:val="002A0336"/>
    <w:rsid w:val="002D01D6"/>
    <w:rsid w:val="00346F5A"/>
    <w:rsid w:val="004A7AF9"/>
    <w:rsid w:val="004F21C2"/>
    <w:rsid w:val="00520683"/>
    <w:rsid w:val="00594C0E"/>
    <w:rsid w:val="0060473A"/>
    <w:rsid w:val="00611BE4"/>
    <w:rsid w:val="0067317B"/>
    <w:rsid w:val="007708BC"/>
    <w:rsid w:val="00860AE6"/>
    <w:rsid w:val="008778A0"/>
    <w:rsid w:val="00975C1D"/>
    <w:rsid w:val="009B0D44"/>
    <w:rsid w:val="00A01A9E"/>
    <w:rsid w:val="00A60BCC"/>
    <w:rsid w:val="00AA5A0B"/>
    <w:rsid w:val="00B145EE"/>
    <w:rsid w:val="00B73489"/>
    <w:rsid w:val="00CF63EF"/>
    <w:rsid w:val="00D22149"/>
    <w:rsid w:val="00D33C82"/>
    <w:rsid w:val="00D60093"/>
    <w:rsid w:val="00E06DBF"/>
    <w:rsid w:val="00E14D57"/>
    <w:rsid w:val="00E770CC"/>
    <w:rsid w:val="00F24E04"/>
    <w:rsid w:val="00FB411F"/>
    <w:rsid w:val="01255FDC"/>
    <w:rsid w:val="01715134"/>
    <w:rsid w:val="0215274E"/>
    <w:rsid w:val="0255556B"/>
    <w:rsid w:val="027D288D"/>
    <w:rsid w:val="02864DCE"/>
    <w:rsid w:val="02F254D6"/>
    <w:rsid w:val="03F608C4"/>
    <w:rsid w:val="0451447E"/>
    <w:rsid w:val="04A31109"/>
    <w:rsid w:val="04C82992"/>
    <w:rsid w:val="04D16B2E"/>
    <w:rsid w:val="05241B93"/>
    <w:rsid w:val="05976EF9"/>
    <w:rsid w:val="05B378F1"/>
    <w:rsid w:val="062974BD"/>
    <w:rsid w:val="065F10D4"/>
    <w:rsid w:val="06A07932"/>
    <w:rsid w:val="07416A2C"/>
    <w:rsid w:val="076D5A73"/>
    <w:rsid w:val="079F3753"/>
    <w:rsid w:val="07C52F4F"/>
    <w:rsid w:val="082C6D25"/>
    <w:rsid w:val="08A06500"/>
    <w:rsid w:val="093F0D49"/>
    <w:rsid w:val="09487BD8"/>
    <w:rsid w:val="098A7E9F"/>
    <w:rsid w:val="09A81080"/>
    <w:rsid w:val="09B47989"/>
    <w:rsid w:val="0A1542DC"/>
    <w:rsid w:val="0BBF598F"/>
    <w:rsid w:val="0C344DB1"/>
    <w:rsid w:val="0CFF7295"/>
    <w:rsid w:val="0DCB704F"/>
    <w:rsid w:val="0DDE3227"/>
    <w:rsid w:val="0EB35806"/>
    <w:rsid w:val="0F103907"/>
    <w:rsid w:val="0F27059F"/>
    <w:rsid w:val="0FF84D9C"/>
    <w:rsid w:val="101E3DAE"/>
    <w:rsid w:val="103A670E"/>
    <w:rsid w:val="109426EF"/>
    <w:rsid w:val="10A5002C"/>
    <w:rsid w:val="10BE29AC"/>
    <w:rsid w:val="117965CF"/>
    <w:rsid w:val="117E0FD2"/>
    <w:rsid w:val="11E903EC"/>
    <w:rsid w:val="125F245C"/>
    <w:rsid w:val="12F3669F"/>
    <w:rsid w:val="137E6912"/>
    <w:rsid w:val="13E76BAD"/>
    <w:rsid w:val="14446E73"/>
    <w:rsid w:val="14EC5E92"/>
    <w:rsid w:val="15296C4A"/>
    <w:rsid w:val="173E6EA5"/>
    <w:rsid w:val="177E5132"/>
    <w:rsid w:val="179236AD"/>
    <w:rsid w:val="18A91259"/>
    <w:rsid w:val="18CE5C46"/>
    <w:rsid w:val="194603AE"/>
    <w:rsid w:val="194D0D6D"/>
    <w:rsid w:val="198B41CF"/>
    <w:rsid w:val="199A63EE"/>
    <w:rsid w:val="1B0C4116"/>
    <w:rsid w:val="1B315F4D"/>
    <w:rsid w:val="1B8975EE"/>
    <w:rsid w:val="1BF9122C"/>
    <w:rsid w:val="1C146065"/>
    <w:rsid w:val="1C237D2F"/>
    <w:rsid w:val="1CDB12BA"/>
    <w:rsid w:val="1CE819CC"/>
    <w:rsid w:val="1F0C46A6"/>
    <w:rsid w:val="1F84600E"/>
    <w:rsid w:val="1FBC4A4A"/>
    <w:rsid w:val="21395D0A"/>
    <w:rsid w:val="214B077B"/>
    <w:rsid w:val="21AE59CD"/>
    <w:rsid w:val="21E45C5A"/>
    <w:rsid w:val="23266D2E"/>
    <w:rsid w:val="2329689A"/>
    <w:rsid w:val="24823128"/>
    <w:rsid w:val="24C75925"/>
    <w:rsid w:val="256C6F12"/>
    <w:rsid w:val="25ED6E3F"/>
    <w:rsid w:val="25EF50D9"/>
    <w:rsid w:val="262443D7"/>
    <w:rsid w:val="26812549"/>
    <w:rsid w:val="27035654"/>
    <w:rsid w:val="28277120"/>
    <w:rsid w:val="288074C9"/>
    <w:rsid w:val="28A36545"/>
    <w:rsid w:val="291B23D8"/>
    <w:rsid w:val="292474E1"/>
    <w:rsid w:val="29763EBB"/>
    <w:rsid w:val="2A1C4276"/>
    <w:rsid w:val="2A612DBE"/>
    <w:rsid w:val="2AA607D0"/>
    <w:rsid w:val="2AA84549"/>
    <w:rsid w:val="2B2B6F28"/>
    <w:rsid w:val="2BBF5FEE"/>
    <w:rsid w:val="2BC37160"/>
    <w:rsid w:val="2C2C2F57"/>
    <w:rsid w:val="2C2F73BD"/>
    <w:rsid w:val="2CDD4252"/>
    <w:rsid w:val="2D0D5BC5"/>
    <w:rsid w:val="2D1D1884"/>
    <w:rsid w:val="2E1271C9"/>
    <w:rsid w:val="2E772822"/>
    <w:rsid w:val="2E807333"/>
    <w:rsid w:val="2F1917E9"/>
    <w:rsid w:val="2FA71273"/>
    <w:rsid w:val="30B37409"/>
    <w:rsid w:val="311677AA"/>
    <w:rsid w:val="311961A0"/>
    <w:rsid w:val="314E3C02"/>
    <w:rsid w:val="3195334D"/>
    <w:rsid w:val="31DE6AA2"/>
    <w:rsid w:val="32506DDA"/>
    <w:rsid w:val="32A221C5"/>
    <w:rsid w:val="330662B0"/>
    <w:rsid w:val="33C7653D"/>
    <w:rsid w:val="34C65565"/>
    <w:rsid w:val="354D7727"/>
    <w:rsid w:val="36EF1805"/>
    <w:rsid w:val="37667C65"/>
    <w:rsid w:val="37712166"/>
    <w:rsid w:val="38EC7CA0"/>
    <w:rsid w:val="393D691A"/>
    <w:rsid w:val="3A571CF9"/>
    <w:rsid w:val="3AB712C1"/>
    <w:rsid w:val="3AD6625B"/>
    <w:rsid w:val="3B594C38"/>
    <w:rsid w:val="3B9D5C20"/>
    <w:rsid w:val="3C3D6BF7"/>
    <w:rsid w:val="3C636DDE"/>
    <w:rsid w:val="3C8B637F"/>
    <w:rsid w:val="3DF77869"/>
    <w:rsid w:val="3E14134F"/>
    <w:rsid w:val="3E1F291C"/>
    <w:rsid w:val="3E473917"/>
    <w:rsid w:val="3E8107C2"/>
    <w:rsid w:val="3F3643C1"/>
    <w:rsid w:val="40496BA1"/>
    <w:rsid w:val="40673A20"/>
    <w:rsid w:val="408334F8"/>
    <w:rsid w:val="40907813"/>
    <w:rsid w:val="40F16E4B"/>
    <w:rsid w:val="41F8770C"/>
    <w:rsid w:val="426C3467"/>
    <w:rsid w:val="42717F20"/>
    <w:rsid w:val="42982C9D"/>
    <w:rsid w:val="4348021F"/>
    <w:rsid w:val="43635059"/>
    <w:rsid w:val="43DE1610"/>
    <w:rsid w:val="44512FE2"/>
    <w:rsid w:val="44601387"/>
    <w:rsid w:val="45232CF2"/>
    <w:rsid w:val="458B2613"/>
    <w:rsid w:val="475D7EB0"/>
    <w:rsid w:val="480B5FD4"/>
    <w:rsid w:val="483419E9"/>
    <w:rsid w:val="483834DF"/>
    <w:rsid w:val="49276B29"/>
    <w:rsid w:val="499E5371"/>
    <w:rsid w:val="49D07D99"/>
    <w:rsid w:val="49D55040"/>
    <w:rsid w:val="4A3D2AA8"/>
    <w:rsid w:val="4A834174"/>
    <w:rsid w:val="4BDA73EE"/>
    <w:rsid w:val="4BDE3E16"/>
    <w:rsid w:val="4C393A63"/>
    <w:rsid w:val="4C465518"/>
    <w:rsid w:val="4C490F72"/>
    <w:rsid w:val="4C910E89"/>
    <w:rsid w:val="4CD86529"/>
    <w:rsid w:val="4CD9638C"/>
    <w:rsid w:val="4D1B4BF6"/>
    <w:rsid w:val="4D3C7046"/>
    <w:rsid w:val="4DA24726"/>
    <w:rsid w:val="4E214614"/>
    <w:rsid w:val="4EA13E1D"/>
    <w:rsid w:val="4EBE1019"/>
    <w:rsid w:val="4F7F392F"/>
    <w:rsid w:val="4FE52ABE"/>
    <w:rsid w:val="4FFA2561"/>
    <w:rsid w:val="50692D5C"/>
    <w:rsid w:val="50B301A8"/>
    <w:rsid w:val="518E0F4B"/>
    <w:rsid w:val="525C3CE7"/>
    <w:rsid w:val="52CF44B9"/>
    <w:rsid w:val="52E57838"/>
    <w:rsid w:val="53E42B84"/>
    <w:rsid w:val="53EC4BF7"/>
    <w:rsid w:val="53F12C9F"/>
    <w:rsid w:val="53F81941"/>
    <w:rsid w:val="5458173E"/>
    <w:rsid w:val="5508238F"/>
    <w:rsid w:val="556B1D8D"/>
    <w:rsid w:val="558C12B5"/>
    <w:rsid w:val="56707D61"/>
    <w:rsid w:val="569B084D"/>
    <w:rsid w:val="56F10439"/>
    <w:rsid w:val="57177265"/>
    <w:rsid w:val="579F72F0"/>
    <w:rsid w:val="584167BE"/>
    <w:rsid w:val="59382267"/>
    <w:rsid w:val="5AB754C4"/>
    <w:rsid w:val="5B4D0671"/>
    <w:rsid w:val="5B6559BA"/>
    <w:rsid w:val="5B8B2F47"/>
    <w:rsid w:val="5BC27058"/>
    <w:rsid w:val="5BC87CF7"/>
    <w:rsid w:val="5C2C66E2"/>
    <w:rsid w:val="5CA73DB1"/>
    <w:rsid w:val="5CB54510"/>
    <w:rsid w:val="5D9C143B"/>
    <w:rsid w:val="5DB26EB1"/>
    <w:rsid w:val="5E527D79"/>
    <w:rsid w:val="5EDE0D55"/>
    <w:rsid w:val="5F7FD1BD"/>
    <w:rsid w:val="5F880BAB"/>
    <w:rsid w:val="600D3B61"/>
    <w:rsid w:val="60575AEE"/>
    <w:rsid w:val="608D7AB9"/>
    <w:rsid w:val="60BC2F5D"/>
    <w:rsid w:val="610054BE"/>
    <w:rsid w:val="61025A59"/>
    <w:rsid w:val="612645BC"/>
    <w:rsid w:val="615F4C9C"/>
    <w:rsid w:val="61926DDD"/>
    <w:rsid w:val="6238022F"/>
    <w:rsid w:val="62C26A35"/>
    <w:rsid w:val="62EB65DC"/>
    <w:rsid w:val="62F340C0"/>
    <w:rsid w:val="641A755E"/>
    <w:rsid w:val="65C23A09"/>
    <w:rsid w:val="671256B5"/>
    <w:rsid w:val="674566A0"/>
    <w:rsid w:val="67A71109"/>
    <w:rsid w:val="681C38A5"/>
    <w:rsid w:val="6870599E"/>
    <w:rsid w:val="68AF64C7"/>
    <w:rsid w:val="68F22857"/>
    <w:rsid w:val="69193145"/>
    <w:rsid w:val="69922BD6"/>
    <w:rsid w:val="6A047A69"/>
    <w:rsid w:val="6A4566DE"/>
    <w:rsid w:val="6A722B8D"/>
    <w:rsid w:val="6A7F636D"/>
    <w:rsid w:val="6A86594D"/>
    <w:rsid w:val="6AA747CD"/>
    <w:rsid w:val="6BAF4A30"/>
    <w:rsid w:val="6CCB2BB5"/>
    <w:rsid w:val="6CCD33BF"/>
    <w:rsid w:val="6D2F7060"/>
    <w:rsid w:val="6D3E5B44"/>
    <w:rsid w:val="6D947719"/>
    <w:rsid w:val="6DA55BF3"/>
    <w:rsid w:val="6DBB76BC"/>
    <w:rsid w:val="6DF50A60"/>
    <w:rsid w:val="6F2A4AF9"/>
    <w:rsid w:val="6F4C2E9D"/>
    <w:rsid w:val="6FEC0823"/>
    <w:rsid w:val="70356941"/>
    <w:rsid w:val="708C3591"/>
    <w:rsid w:val="71F41921"/>
    <w:rsid w:val="72D232AF"/>
    <w:rsid w:val="72D66D46"/>
    <w:rsid w:val="732D2E0A"/>
    <w:rsid w:val="73484296"/>
    <w:rsid w:val="739764D5"/>
    <w:rsid w:val="739C7F8F"/>
    <w:rsid w:val="7406353F"/>
    <w:rsid w:val="74357542"/>
    <w:rsid w:val="74515B52"/>
    <w:rsid w:val="746B4342"/>
    <w:rsid w:val="757F1917"/>
    <w:rsid w:val="7582150F"/>
    <w:rsid w:val="75CD1CED"/>
    <w:rsid w:val="76040675"/>
    <w:rsid w:val="77223CB7"/>
    <w:rsid w:val="781E0F73"/>
    <w:rsid w:val="784968FE"/>
    <w:rsid w:val="78CF4963"/>
    <w:rsid w:val="79174EA1"/>
    <w:rsid w:val="798D4602"/>
    <w:rsid w:val="7AB7745D"/>
    <w:rsid w:val="7AB85583"/>
    <w:rsid w:val="7AD82F32"/>
    <w:rsid w:val="7AF4781E"/>
    <w:rsid w:val="7B4970AB"/>
    <w:rsid w:val="7B6B0973"/>
    <w:rsid w:val="7B935673"/>
    <w:rsid w:val="7BC41911"/>
    <w:rsid w:val="7C4F3DF1"/>
    <w:rsid w:val="7C887229"/>
    <w:rsid w:val="7CB225D2"/>
    <w:rsid w:val="7E447259"/>
    <w:rsid w:val="7E953F59"/>
    <w:rsid w:val="7EC21EB7"/>
    <w:rsid w:val="7EF173E1"/>
    <w:rsid w:val="7F792F33"/>
    <w:rsid w:val="7FF45828"/>
    <w:rsid w:val="A2FD72B9"/>
    <w:rsid w:val="B4FAC28D"/>
    <w:rsid w:val="DFFB05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link w:val="2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仿宋" w:hAnsi="仿宋" w:eastAsia="仿宋" w:cs="仿宋"/>
      <w:sz w:val="32"/>
      <w:szCs w:val="32"/>
      <w:lang w:val="en-US" w:eastAsia="en-US" w:bidi="ar-SA"/>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2">
    <w:name w:val="Strong"/>
    <w:basedOn w:val="11"/>
    <w:qFormat/>
    <w:uiPriority w:val="22"/>
    <w:rPr>
      <w:b/>
    </w:rPr>
  </w:style>
  <w:style w:type="character" w:styleId="13">
    <w:name w:val="Hyperlink"/>
    <w:basedOn w:val="11"/>
    <w:semiHidden/>
    <w:unhideWhenUsed/>
    <w:qFormat/>
    <w:uiPriority w:val="99"/>
    <w:rPr>
      <w:color w:val="0000FF"/>
      <w:u w:val="single"/>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customStyle="1" w:styleId="16">
    <w:name w:val="Default"/>
    <w:qFormat/>
    <w:uiPriority w:val="0"/>
    <w:pPr>
      <w:widowControl w:val="0"/>
      <w:autoSpaceDE w:val="0"/>
      <w:autoSpaceDN w:val="0"/>
      <w:adjustRightInd w:val="0"/>
    </w:pPr>
    <w:rPr>
      <w:rFonts w:ascii="仿宋" w:hAnsi="仿宋" w:cs="仿宋" w:eastAsiaTheme="minorEastAsia"/>
      <w:color w:val="000000"/>
      <w:sz w:val="24"/>
      <w:szCs w:val="24"/>
      <w:lang w:val="en-US" w:eastAsia="zh-CN" w:bidi="ar-SA"/>
    </w:rPr>
  </w:style>
  <w:style w:type="character" w:customStyle="1" w:styleId="17">
    <w:name w:val="apple-converted-space"/>
    <w:basedOn w:val="11"/>
    <w:qFormat/>
    <w:uiPriority w:val="0"/>
  </w:style>
  <w:style w:type="paragraph" w:styleId="18">
    <w:name w:val="List Paragraph"/>
    <w:basedOn w:val="1"/>
    <w:qFormat/>
    <w:uiPriority w:val="34"/>
    <w:pPr>
      <w:ind w:firstLine="420" w:firstLineChars="200"/>
    </w:pPr>
    <w:rPr>
      <w:rFonts w:ascii="Calibri" w:hAnsi="Calibri" w:eastAsia="宋体" w:cs="Times New Roman"/>
    </w:rPr>
  </w:style>
  <w:style w:type="character" w:customStyle="1" w:styleId="19">
    <w:name w:val="批注框文本 Char"/>
    <w:basedOn w:val="11"/>
    <w:link w:val="5"/>
    <w:semiHidden/>
    <w:qFormat/>
    <w:uiPriority w:val="99"/>
    <w:rPr>
      <w:rFonts w:asciiTheme="minorHAnsi" w:hAnsiTheme="minorHAnsi" w:eastAsiaTheme="minorEastAsia" w:cstheme="minorBidi"/>
      <w:kern w:val="2"/>
      <w:sz w:val="18"/>
      <w:szCs w:val="18"/>
    </w:rPr>
  </w:style>
  <w:style w:type="paragraph" w:customStyle="1" w:styleId="20">
    <w:name w:val="申报表二级"/>
    <w:basedOn w:val="3"/>
    <w:link w:val="21"/>
    <w:qFormat/>
    <w:uiPriority w:val="0"/>
    <w:rPr>
      <w:rFonts w:ascii="黑体" w:hAnsi="黑体" w:eastAsia="黑体" w:cs="Times New Roman"/>
      <w:b w:val="0"/>
      <w:color w:val="000000"/>
      <w:sz w:val="28"/>
      <w:szCs w:val="22"/>
    </w:rPr>
  </w:style>
  <w:style w:type="character" w:customStyle="1" w:styleId="21">
    <w:name w:val="申报表二级 Char"/>
    <w:link w:val="20"/>
    <w:qFormat/>
    <w:uiPriority w:val="0"/>
    <w:rPr>
      <w:rFonts w:ascii="黑体" w:hAnsi="黑体" w:eastAsia="黑体"/>
      <w:bCs/>
      <w:color w:val="000000"/>
      <w:kern w:val="2"/>
      <w:sz w:val="28"/>
      <w:szCs w:val="22"/>
    </w:rPr>
  </w:style>
  <w:style w:type="character" w:customStyle="1" w:styleId="22">
    <w:name w:val="标题 2 Char"/>
    <w:basedOn w:val="11"/>
    <w:link w:val="3"/>
    <w:semiHidden/>
    <w:qFormat/>
    <w:uiPriority w:val="9"/>
    <w:rPr>
      <w:rFonts w:asciiTheme="majorHAnsi" w:hAnsiTheme="majorHAnsi" w:eastAsiaTheme="majorEastAsia" w:cstheme="majorBidi"/>
      <w:b/>
      <w:bCs/>
      <w:kern w:val="2"/>
      <w:sz w:val="32"/>
      <w:szCs w:val="32"/>
    </w:rPr>
  </w:style>
  <w:style w:type="paragraph" w:customStyle="1" w:styleId="23">
    <w:name w:val="_Style 2"/>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P R C</Company>
  <Pages>6</Pages>
  <Words>2617</Words>
  <Characters>2813</Characters>
  <Lines>1</Lines>
  <Paragraphs>1</Paragraphs>
  <TotalTime>2</TotalTime>
  <ScaleCrop>false</ScaleCrop>
  <LinksUpToDate>false</LinksUpToDate>
  <CharactersWithSpaces>2916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2021-02-08T09:33:00Z</dcterms:created>
  <dc:creator>刘成士</dc:creator>
  <cp:lastModifiedBy>阳利</cp:lastModifiedBy>
  <cp:lastPrinted>2023-12-26T16:30:00Z</cp:lastPrinted>
  <dcterms:modified xsi:type="dcterms:W3CDTF">2026-06-18T08:15:31Z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950EE5458A4A46FCA11CC5850C95806E</vt:lpwstr>
  </property>
  <property fmtid="{D5CDD505-2E9C-101B-9397-08002B2CF9AE}" pid="4" name="KSOTemplateDocerSaveRecord">
    <vt:lpwstr>eyJoZGlkIjoiNWY4ZTdkNjk0OGJkOGNhN2Q0OTliNmZkYjk3NjRiODEiLCJ1c2VySWQiOiI1OTMzNTg4MDQifQ==</vt:lpwstr>
  </property>
</Properties>
</file>